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546F73DC" w14:textId="77777777" w:rsidTr="00EF340B">
        <w:trPr>
          <w:trHeight w:val="1289"/>
        </w:trPr>
        <w:tc>
          <w:tcPr>
            <w:tcW w:w="10314" w:type="dxa"/>
          </w:tcPr>
          <w:p w14:paraId="7E14B281" w14:textId="77777777" w:rsidR="00FC1D6C" w:rsidRPr="00617E6C" w:rsidRDefault="006B631E" w:rsidP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</w:p>
          <w:p w14:paraId="7B10F40C" w14:textId="77777777" w:rsidR="006B631E" w:rsidRPr="00584975" w:rsidRDefault="00584975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  <w:r w:rsidRPr="00584975">
              <w:rPr>
                <w:rFonts w:ascii="Avenir Book" w:hAnsi="Avenir Book"/>
                <w:color w:val="000000"/>
                <w:sz w:val="22"/>
                <w:szCs w:val="22"/>
              </w:rPr>
              <w:t>Identificar e analisar aspectos econômicos, financeiros e gerenciais, da inovação e da difusão tecnológica e sua relação com o processo produtivo e o desenvolvimento econômico, usando evidências empíricas e estudos de caso nacionais e internacionais.</w:t>
            </w:r>
          </w:p>
        </w:tc>
      </w:tr>
    </w:tbl>
    <w:p w14:paraId="52BC905E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617E6C" w14:paraId="5307874F" w14:textId="77777777" w:rsidTr="006A0CC0">
        <w:trPr>
          <w:trHeight w:val="4253"/>
        </w:trPr>
        <w:tc>
          <w:tcPr>
            <w:tcW w:w="10314" w:type="dxa"/>
          </w:tcPr>
          <w:p w14:paraId="26FB50FF" w14:textId="77777777" w:rsidR="006B631E" w:rsidRPr="00617E6C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125F213A" w14:textId="77777777" w:rsidR="00FC1D6C" w:rsidRDefault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668A78B2" w14:textId="77777777" w:rsidR="00584975" w:rsidRPr="00584975" w:rsidRDefault="00584975" w:rsidP="00584975">
            <w:pPr>
              <w:numPr>
                <w:ilvl w:val="0"/>
                <w:numId w:val="2"/>
              </w:numPr>
              <w:contextualSpacing/>
              <w:jc w:val="both"/>
              <w:rPr>
                <w:rFonts w:ascii="Avenir Book" w:eastAsia="Cambria" w:hAnsi="Avenir Book"/>
                <w:b/>
                <w:bCs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b/>
                <w:bCs/>
                <w:sz w:val="22"/>
                <w:szCs w:val="22"/>
                <w:lang w:eastAsia="en-US"/>
              </w:rPr>
              <w:t xml:space="preserve">Conhecimento Técnico-Científico, Inovação e Empresa </w:t>
            </w:r>
          </w:p>
          <w:p w14:paraId="69454191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 xml:space="preserve">1.1. Tecnologia e acumulação de capital </w:t>
            </w:r>
          </w:p>
          <w:p w14:paraId="20F15003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1.2. Conhecimento, inovação, empresa, competitividade e desenvolvimento econômico: novos padrões de competição e o papel da inovação; papel da empresa na inovação.</w:t>
            </w:r>
          </w:p>
          <w:p w14:paraId="649751FD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1.3. Evolução e perspectivas na teoria da inovação; modelos e abordagens, classificações e fontes de inovação.</w:t>
            </w:r>
          </w:p>
          <w:p w14:paraId="1C313B04" w14:textId="77777777" w:rsidR="00584975" w:rsidRPr="00392553" w:rsidRDefault="00584975" w:rsidP="00584975">
            <w:pPr>
              <w:spacing w:line="276" w:lineRule="auto"/>
              <w:jc w:val="both"/>
              <w:rPr>
                <w:u w:val="single"/>
              </w:rPr>
            </w:pPr>
          </w:p>
          <w:p w14:paraId="27B1D5B5" w14:textId="77777777" w:rsidR="00584975" w:rsidRPr="00584975" w:rsidRDefault="00584975" w:rsidP="00584975">
            <w:pPr>
              <w:numPr>
                <w:ilvl w:val="0"/>
                <w:numId w:val="2"/>
              </w:numPr>
              <w:contextualSpacing/>
              <w:jc w:val="both"/>
              <w:rPr>
                <w:rFonts w:ascii="Avenir Book" w:eastAsia="Cambria" w:hAnsi="Avenir Book"/>
                <w:b/>
                <w:bCs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b/>
                <w:bCs/>
                <w:sz w:val="22"/>
                <w:szCs w:val="22"/>
                <w:lang w:eastAsia="en-US"/>
              </w:rPr>
              <w:t xml:space="preserve">Sistemas de Inovação </w:t>
            </w:r>
          </w:p>
          <w:p w14:paraId="6C603EA4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2.1. O caráter coletivo, incerto e de longo prazo da inovação</w:t>
            </w:r>
          </w:p>
          <w:p w14:paraId="43501B21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2.2. Tecnologia e Capitalismo: Anos dourados e Globalização</w:t>
            </w:r>
          </w:p>
          <w:p w14:paraId="732D9D13" w14:textId="77777777" w:rsidR="00584975" w:rsidRPr="00584975" w:rsidRDefault="00584975" w:rsidP="00584975">
            <w:pPr>
              <w:spacing w:line="276" w:lineRule="auto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 xml:space="preserve">2.3. Tecnologia, inovação e financeirização </w:t>
            </w:r>
          </w:p>
          <w:p w14:paraId="37EFC4CF" w14:textId="77777777" w:rsidR="00584975" w:rsidRPr="00584975" w:rsidRDefault="00584975" w:rsidP="00584975">
            <w:pPr>
              <w:spacing w:line="276" w:lineRule="auto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2.4. Inovação e difusão: relações entre a produção e a capacitação tecnológica; diferenças setoriais no processo de acumulação tecnológica e geração de inovação.</w:t>
            </w:r>
          </w:p>
          <w:p w14:paraId="045E0A0D" w14:textId="77777777" w:rsidR="00584975" w:rsidRPr="00584975" w:rsidRDefault="00584975" w:rsidP="00584975">
            <w:pPr>
              <w:spacing w:line="276" w:lineRule="auto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2.5. Inovação, território e as novas visões de desenvolvimento, clusters como espaços de construção de vocações, vinculações e difusão tecnológicas.</w:t>
            </w:r>
          </w:p>
          <w:p w14:paraId="26B447D3" w14:textId="77777777" w:rsidR="00584975" w:rsidRPr="00584975" w:rsidRDefault="00584975" w:rsidP="00584975">
            <w:pPr>
              <w:spacing w:line="276" w:lineRule="auto"/>
              <w:jc w:val="both"/>
              <w:rPr>
                <w:rFonts w:ascii="Avenir Book" w:eastAsia="Cambria" w:hAnsi="Avenir Book"/>
                <w:sz w:val="22"/>
                <w:szCs w:val="22"/>
                <w:lang w:eastAsia="en-US"/>
              </w:rPr>
            </w:pPr>
            <w:r w:rsidRPr="00584975">
              <w:rPr>
                <w:rFonts w:ascii="Avenir Book" w:eastAsia="Cambria" w:hAnsi="Avenir Book"/>
                <w:sz w:val="22"/>
                <w:szCs w:val="22"/>
                <w:lang w:eastAsia="en-US"/>
              </w:rPr>
              <w:t>2.6. O papel do estado e das políticas públicas: a heterogeneidade tecnológica setorial e empresarial; os padrões internacionais de políticas de inovação: o caso americano; políticas públicas de apoio à inovação: diferenças entre tipos de empresas e formas de apoio; políticas comparadas de apoio à inovação.</w:t>
            </w:r>
          </w:p>
          <w:p w14:paraId="6D343ED8" w14:textId="77777777" w:rsidR="00584975" w:rsidRPr="00617E6C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085BD278" w14:textId="77777777" w:rsidR="00FC1D6C" w:rsidRPr="00617E6C" w:rsidRDefault="00FC1D6C" w:rsidP="00584975">
            <w:pPr>
              <w:pStyle w:val="GradeMdia1-nfase21"/>
              <w:spacing w:after="0" w:line="240" w:lineRule="auto"/>
              <w:ind w:left="0"/>
              <w:jc w:val="both"/>
              <w:rPr>
                <w:rFonts w:ascii="Avenir Book" w:hAnsi="Avenir Book" w:cs="Arial"/>
                <w:color w:val="000000"/>
              </w:rPr>
            </w:pPr>
          </w:p>
          <w:p w14:paraId="45A5EB95" w14:textId="77777777" w:rsidR="00FC1D6C" w:rsidRPr="00584975" w:rsidRDefault="00FC1D6C" w:rsidP="00FC1D6C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u w:val="single"/>
              </w:rPr>
              <w:t xml:space="preserve">Leitura </w:t>
            </w:r>
            <w:r w:rsidRPr="00584975">
              <w:rPr>
                <w:rFonts w:ascii="Avenir Book" w:hAnsi="Avenir Book"/>
                <w:sz w:val="22"/>
                <w:szCs w:val="22"/>
                <w:u w:val="single"/>
              </w:rPr>
              <w:t>obrigatória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: </w:t>
            </w:r>
          </w:p>
          <w:p w14:paraId="094B907E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CHANG, H-J. (2004).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Chutando a Escada: a estratégia do desenvolvimento em perspectiva histórica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. 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São Paulo: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Editora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 UNESP.</w:t>
            </w:r>
          </w:p>
          <w:p w14:paraId="32F2F1B0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COOKE, P. (2001) Regional Innovation Systems, clusters, and the knowledge economy.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Industrial and Corporate Change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, v. 10, n. 4.</w:t>
            </w:r>
          </w:p>
          <w:p w14:paraId="2D2EC475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FARGERBERG, J., MOWERY, D., NELSON, R. (Ed.). (2005).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The Oxford handbook of innovation.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 New York: Oxford University Press. </w:t>
            </w:r>
          </w:p>
          <w:p w14:paraId="763375F9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FREEMAN, C. (1979) The Determinants of Innovation. Market Demand, Technology, and the Response to Social Problems.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Futures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, June. </w:t>
            </w:r>
          </w:p>
          <w:p w14:paraId="2F41B783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FREEMAN, C. (1994) The Economics of Technical Change,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Cambridge Journal of Economics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, 18, 463-514. </w:t>
            </w:r>
          </w:p>
          <w:p w14:paraId="0729DF5B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FREEMAN, C. (1995) The National System of Innovation’ in historical perspective.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Journal of Economics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, v.19, pp.5-24. </w:t>
            </w:r>
          </w:p>
          <w:p w14:paraId="6C6A5376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FREEMAN, C.; SOETE, L. (1997)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The Economics of Industrial Innovation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. 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>London: Pinter, Terceira Edição.</w:t>
            </w:r>
          </w:p>
          <w:p w14:paraId="4610D8EB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>KUPFER, D., HASENCLEVER, L. (20</w:t>
            </w:r>
            <w:r w:rsidRPr="00AF0325">
              <w:rPr>
                <w:rFonts w:ascii="Avenir Book" w:hAnsi="Avenir Book"/>
                <w:color w:val="000000"/>
                <w:sz w:val="22"/>
                <w:szCs w:val="22"/>
              </w:rPr>
              <w:t>20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)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</w:rPr>
              <w:t>Economia Industrial. Fundamentos Teóricos e Práticas no Brasil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. </w:t>
            </w:r>
            <w:r w:rsidRPr="00AF0325"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  <w:t xml:space="preserve">3ª. </w:t>
            </w:r>
            <w:proofErr w:type="spellStart"/>
            <w:r w:rsidRPr="00AF0325"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  <w:t>edição</w:t>
            </w:r>
            <w:proofErr w:type="spellEnd"/>
            <w:r w:rsidRPr="00AF0325"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  <w:t xml:space="preserve"> São Paulo: Atlas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. </w:t>
            </w:r>
          </w:p>
          <w:p w14:paraId="0F5E7D60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LAZOMICK, W. (1991)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Business Organization and the Mith of the Market Economy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, Cambridge University Press.</w:t>
            </w:r>
          </w:p>
          <w:p w14:paraId="36FC82B9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LAZONICK, W. (2010)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Marketization, Globalization, Financialization: The Fragility of the US Economy in an Era of Global Change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. March, mimeo.</w:t>
            </w:r>
          </w:p>
          <w:p w14:paraId="102FCB8D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MALERBA, F. (2002). Sectoral systems of innovation and production.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</w:rPr>
              <w:t>Research</w:t>
            </w:r>
            <w:proofErr w:type="spellEnd"/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</w:rPr>
              <w:t>Policy</w:t>
            </w:r>
            <w:proofErr w:type="spellEnd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 31. </w:t>
            </w:r>
          </w:p>
          <w:p w14:paraId="14A0999F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MARX, K. (2013).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O Capital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, Livro I.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</w:rPr>
              <w:t>Boitempo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 Editorial, São Paulo.</w:t>
            </w:r>
          </w:p>
          <w:p w14:paraId="7032217B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MAZZUCATO, M. (2014).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O Estado Empreendedor - Desmascarando o mito do setor público vs. setor privado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. 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São 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lastRenderedPageBreak/>
              <w:t xml:space="preserve">Paulo: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Companhia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 das Letras. </w:t>
            </w:r>
          </w:p>
          <w:p w14:paraId="4E3B58C7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MEYER-STAMER, J. (1995). New Departures for Technology Policy in Brazil,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Science and Public Policy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, vol.22, n.5, pp.295-304.</w:t>
            </w:r>
          </w:p>
          <w:p w14:paraId="55C9B61D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NELSON, R.; WINTER, S. (2005)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Uma Teoria Evolucionária da Mudança Econômica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. 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Campinas: Ed. da Unicamp.</w:t>
            </w:r>
          </w:p>
          <w:p w14:paraId="365C5EFC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  <w:t>PAVITT, K. (1984) Sectorial patterns of technical change: towards a taxonomy and a theory. Research Policy, v. 13, p. 343-373</w:t>
            </w:r>
          </w:p>
          <w:p w14:paraId="10B4CB55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AF0325">
              <w:rPr>
                <w:rFonts w:ascii="Avenir Book" w:hAnsi="Avenir Book"/>
                <w:color w:val="000000"/>
                <w:sz w:val="22"/>
                <w:szCs w:val="22"/>
                <w:lang w:val="en-US"/>
              </w:rPr>
              <w:t xml:space="preserve">RAPINI, M., RAPINI, M., et al. </w:t>
            </w:r>
            <w:r w:rsidRPr="00AF0325">
              <w:rPr>
                <w:rFonts w:ascii="Avenir Book" w:hAnsi="Avenir Book"/>
                <w:color w:val="000000"/>
                <w:sz w:val="22"/>
                <w:szCs w:val="22"/>
              </w:rPr>
              <w:t>(2021) (Org) Economia da ciência, tecnologia e inovação: fundamentos teóricos e a economia global. 2ª. edição Belo Horizonte: FACE-UFMG.</w:t>
            </w:r>
          </w:p>
          <w:p w14:paraId="02E930EF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REINERT, E. (2008).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Como os Países Ricos Ficaram Ricos... E Os Pobres Continuam Pobres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>. Contraponto, Rio de Janeiro.</w:t>
            </w:r>
          </w:p>
          <w:p w14:paraId="4706E504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RICARDO, D. (1982)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Princípios de Economia Política e Tributação.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 São Paulo: Abril Cultural. </w:t>
            </w:r>
          </w:p>
          <w:p w14:paraId="6E8C9A07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ROSENBERG, N. (2011)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</w:rPr>
              <w:t>Was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 Schumpeter a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</w:rPr>
              <w:t>Marxist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?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 xml:space="preserve">Industrial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and</w:t>
            </w:r>
            <w:proofErr w:type="spellEnd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 xml:space="preserve"> Corporate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Change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</w:rPr>
              <w:t>, 20(4):1215-1222.</w:t>
            </w:r>
          </w:p>
          <w:p w14:paraId="22FDEBA4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ROSENBERG N. (2006)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</w:rPr>
              <w:t>Por Dentro da Caixa-Preta - Tecnologia e Economia</w:t>
            </w:r>
            <w:r w:rsidRPr="00AF0325">
              <w:rPr>
                <w:rFonts w:ascii="Avenir Book" w:hAnsi="Avenir Book" w:cs="Arial"/>
                <w:sz w:val="22"/>
                <w:szCs w:val="22"/>
              </w:rPr>
              <w:t xml:space="preserve">. 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SP: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Editora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 da </w:t>
            </w:r>
            <w:proofErr w:type="spellStart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Unicamp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. </w:t>
            </w:r>
          </w:p>
          <w:p w14:paraId="0245B80A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SCHILLING, M. (2019)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Strategic management of technological innovation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. 6th edition. New York: McGraw-Hill Education. </w:t>
            </w:r>
          </w:p>
          <w:p w14:paraId="47B219B8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SMITH, A. (1983)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 xml:space="preserve">A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Riqueza</w:t>
            </w:r>
            <w:proofErr w:type="spellEnd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 xml:space="preserve"> das </w:t>
            </w:r>
            <w:proofErr w:type="spellStart"/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Nações</w:t>
            </w:r>
            <w:proofErr w:type="spellEnd"/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, São Paulo: Abril Cultural.</w:t>
            </w:r>
          </w:p>
          <w:p w14:paraId="169189A1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TEECE, D. (1986) Profiting from technological innovation; implications for integration, collaboration, licensing, and public policy, </w:t>
            </w:r>
            <w:r w:rsidRPr="00AF0325">
              <w:rPr>
                <w:rFonts w:ascii="Avenir Book" w:hAnsi="Avenir Book" w:cs="Arial"/>
                <w:i/>
                <w:iCs/>
                <w:sz w:val="22"/>
                <w:szCs w:val="22"/>
                <w:lang w:val="en-US"/>
              </w:rPr>
              <w:t>Research and Policy</w:t>
            </w:r>
            <w:r w:rsidRPr="00AF0325">
              <w:rPr>
                <w:rFonts w:ascii="Avenir Book" w:hAnsi="Avenir Book" w:cs="Arial"/>
                <w:sz w:val="22"/>
                <w:szCs w:val="22"/>
                <w:lang w:val="en-US"/>
              </w:rPr>
              <w:t>, v. 15, p. 285-305.</w:t>
            </w:r>
          </w:p>
          <w:p w14:paraId="6859B18A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TIDD, J.; BESSANT, J. (2018)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Managing Innovation: integrating technological, market and organizational change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. 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6th </w:t>
            </w:r>
            <w:proofErr w:type="spellStart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>edition</w:t>
            </w:r>
            <w:proofErr w:type="spellEnd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>Hoboken</w:t>
            </w:r>
            <w:proofErr w:type="spellEnd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>Wiley</w:t>
            </w:r>
            <w:proofErr w:type="spellEnd"/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. </w:t>
            </w:r>
          </w:p>
          <w:p w14:paraId="53FCE2FC" w14:textId="77777777" w:rsidR="00AF0325" w:rsidRPr="00AF0325" w:rsidRDefault="00AF0325" w:rsidP="00AF0325">
            <w:pPr>
              <w:spacing w:after="60"/>
              <w:ind w:left="709" w:hanging="709"/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TIGRE, P. (2019) </w:t>
            </w:r>
            <w:r w:rsidRPr="00AF032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</w:rPr>
              <w:t>Gestão da Inovação: uma abordagem estratégica, organizacional e de gestão do conhecimento</w:t>
            </w:r>
            <w:r w:rsidRPr="00AF0325">
              <w:rPr>
                <w:rFonts w:ascii="Avenir Book" w:hAnsi="Avenir Book" w:cs="Arial"/>
                <w:color w:val="000000"/>
                <w:sz w:val="22"/>
                <w:szCs w:val="22"/>
              </w:rPr>
              <w:t>. 3ª. edição. Rio de Janeiro: Editora Elsevier.</w:t>
            </w:r>
          </w:p>
          <w:p w14:paraId="279CADF2" w14:textId="77777777" w:rsidR="00584975" w:rsidRDefault="00584975" w:rsidP="00584975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</w:p>
          <w:p w14:paraId="40C9F2EF" w14:textId="77777777" w:rsidR="00584975" w:rsidRPr="00584975" w:rsidRDefault="00584975" w:rsidP="00584975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>
              <w:rPr>
                <w:rFonts w:ascii="Avenir Book" w:hAnsi="Avenir Book" w:cs="Arial"/>
                <w:color w:val="000000"/>
                <w:sz w:val="22"/>
                <w:szCs w:val="22"/>
              </w:rPr>
              <w:t>Leitura complementar:</w:t>
            </w:r>
          </w:p>
          <w:p w14:paraId="1E798262" w14:textId="77777777" w:rsidR="00584975" w:rsidRPr="00584975" w:rsidRDefault="00584975" w:rsidP="00EF340B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ERBER, S. F. (2009) Inovação Tecnológica na Indústria Brasileira no Passado Recente: uma resenha da literatura econômica. 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Mimeo IE/UFRJ.</w:t>
            </w:r>
          </w:p>
          <w:p w14:paraId="368BAEFC" w14:textId="77777777" w:rsidR="00584975" w:rsidRPr="00584975" w:rsidRDefault="00584975" w:rsidP="00EF340B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OCDE (20</w:t>
            </w:r>
            <w:r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18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). Oslo Manual (</w:t>
            </w:r>
            <w:r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Fourth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 Edition). Paris: OCDE.</w:t>
            </w:r>
          </w:p>
          <w:p w14:paraId="27C4DB08" w14:textId="77777777" w:rsidR="00584975" w:rsidRPr="00584975" w:rsidRDefault="00584975" w:rsidP="00EF340B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OECD (20</w:t>
            </w:r>
            <w:r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15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). Frascati Manual (</w:t>
            </w:r>
            <w:r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Seventh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 Edition).</w:t>
            </w:r>
            <w:r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Paris: OECD.</w:t>
            </w:r>
          </w:p>
          <w:p w14:paraId="46138172" w14:textId="77777777" w:rsidR="00584975" w:rsidRDefault="00584975" w:rsidP="00EF340B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</w:rPr>
              <w:t>STOKES, D. (2005) O quadrante de Pasteur: a ciência básica e a inovação tecnológica. Campinas: Editora Unicamp. (Coleção clássicos da inovação) (Original, 1997).</w:t>
            </w:r>
          </w:p>
          <w:p w14:paraId="7559CD73" w14:textId="77777777" w:rsidR="00EF340B" w:rsidRDefault="00EF340B" w:rsidP="00EF340B">
            <w:pPr>
              <w:spacing w:after="60"/>
              <w:ind w:left="709" w:hanging="709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  <w:r w:rsidRPr="00584975">
              <w:rPr>
                <w:rFonts w:ascii="Avenir Book" w:hAnsi="Avenir Book" w:cs="Arial"/>
                <w:color w:val="000000"/>
                <w:sz w:val="22"/>
                <w:szCs w:val="22"/>
              </w:rPr>
              <w:t xml:space="preserve">VELHO, L (2010). Ideias fundadoras. Apresentação ao artigo de Freeman (1979). </w:t>
            </w:r>
            <w:proofErr w:type="spellStart"/>
            <w:r w:rsidRPr="0058497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Revista</w:t>
            </w:r>
            <w:proofErr w:type="spellEnd"/>
            <w:r w:rsidRPr="0058497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 xml:space="preserve"> Brasileira de </w:t>
            </w:r>
            <w:proofErr w:type="spellStart"/>
            <w:r w:rsidRPr="00584975">
              <w:rPr>
                <w:rFonts w:ascii="Avenir Book" w:hAnsi="Avenir Book" w:cs="Arial"/>
                <w:i/>
                <w:iCs/>
                <w:color w:val="000000"/>
                <w:sz w:val="22"/>
                <w:szCs w:val="22"/>
                <w:lang w:val="en-US"/>
              </w:rPr>
              <w:t>Inovação</w:t>
            </w:r>
            <w:proofErr w:type="spellEnd"/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 xml:space="preserve">, 9 (2), p. 215-230, </w:t>
            </w:r>
            <w:proofErr w:type="spellStart"/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julho</w:t>
            </w:r>
            <w:proofErr w:type="spellEnd"/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/</w:t>
            </w:r>
            <w:proofErr w:type="spellStart"/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dezembro</w:t>
            </w:r>
            <w:proofErr w:type="spellEnd"/>
            <w:r w:rsidRPr="00584975"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  <w:t>.</w:t>
            </w:r>
          </w:p>
          <w:p w14:paraId="112BA938" w14:textId="77777777" w:rsidR="00EF340B" w:rsidRPr="00584975" w:rsidRDefault="00EF340B" w:rsidP="00584975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62DEC3DA" w14:textId="77777777" w:rsidR="006B631E" w:rsidRPr="009B4624" w:rsidRDefault="006B631E" w:rsidP="006A0CC0">
      <w:pPr>
        <w:rPr>
          <w:rFonts w:ascii="Cambria" w:hAnsi="Cambria"/>
          <w:lang w:val="en-US"/>
        </w:rPr>
      </w:pPr>
    </w:p>
    <w:p w14:paraId="170C8074" w14:textId="77777777" w:rsidR="002278AE" w:rsidRPr="009B4624" w:rsidRDefault="002278AE" w:rsidP="006A0CC0">
      <w:pPr>
        <w:rPr>
          <w:rFonts w:ascii="Cambria" w:hAnsi="Cambria"/>
          <w:lang w:val="en-US"/>
        </w:rPr>
      </w:pPr>
    </w:p>
    <w:p w14:paraId="55A89817" w14:textId="77777777" w:rsidR="002278AE" w:rsidRPr="00584975" w:rsidRDefault="002278AE" w:rsidP="006A0CC0">
      <w:pPr>
        <w:rPr>
          <w:rFonts w:ascii="Cambria" w:hAnsi="Cambria"/>
          <w:lang w:val="en-US"/>
        </w:rPr>
      </w:pPr>
    </w:p>
    <w:sectPr w:rsidR="002278AE" w:rsidRPr="00584975" w:rsidSect="006A0C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F35EC" w14:textId="77777777" w:rsidR="00C83A7B" w:rsidRDefault="00C83A7B">
      <w:r>
        <w:separator/>
      </w:r>
    </w:p>
  </w:endnote>
  <w:endnote w:type="continuationSeparator" w:id="0">
    <w:p w14:paraId="63733C27" w14:textId="77777777" w:rsidR="00C83A7B" w:rsidRDefault="00C8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13818" w14:textId="77777777" w:rsidR="00FE7897" w:rsidRDefault="00FE789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052C4" w14:textId="77777777" w:rsidR="00FE7897" w:rsidRDefault="00FE789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C2EF2" w14:textId="77777777" w:rsidR="00FE7897" w:rsidRDefault="00FE789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2428A" w14:textId="77777777" w:rsidR="00C83A7B" w:rsidRDefault="00C83A7B">
      <w:r>
        <w:separator/>
      </w:r>
    </w:p>
  </w:footnote>
  <w:footnote w:type="continuationSeparator" w:id="0">
    <w:p w14:paraId="62B97858" w14:textId="77777777" w:rsidR="00C83A7B" w:rsidRDefault="00C83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E1DA0" w14:textId="77777777" w:rsidR="00FE7897" w:rsidRDefault="00FE789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0D0C1F01" w14:textId="77777777" w:rsidTr="00084636">
      <w:trPr>
        <w:trHeight w:val="589"/>
      </w:trPr>
      <w:tc>
        <w:tcPr>
          <w:tcW w:w="1384" w:type="dxa"/>
        </w:tcPr>
        <w:p w14:paraId="54509129" w14:textId="77777777" w:rsidR="002A1E8B" w:rsidRDefault="00C83A7B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pict w14:anchorId="3FC3F12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36" type="#_x0000_t75" style="position:absolute;margin-left:1.85pt;margin-top:4.6pt;width:53.2pt;height:60.25pt;z-index:3">
                <v:imagedata r:id="rId1" o:title=""/>
              </v:shape>
            </w:pict>
          </w:r>
          <w:r>
            <w:rPr>
              <w:sz w:val="8"/>
              <w:szCs w:val="8"/>
            </w:rPr>
          </w:r>
          <w:r>
            <w:rPr>
              <w:sz w:val="8"/>
              <w:szCs w:val="8"/>
            </w:rPr>
            <w:pict w14:anchorId="34FC80A8">
              <v:group id="_x0000_s1035" editas="canvas" style="width:51.9pt;height:60pt;mso-position-horizontal-relative:char;mso-position-vertical-relative:line" coordsize="1038,1200">
                <o:lock v:ext="edit" aspectratio="t"/>
                <v:shape id="_x0000_s1034" type="#_x0000_t75" style="position:absolute;width:1038;height:1200" o:preferrelative="f">
                  <v:fill o:detectmouseclick="t"/>
                  <v:path o:extrusionok="t" o:connecttype="none"/>
                  <o:lock v:ext="edit" text="t"/>
                </v:shape>
                <w10:wrap type="none"/>
                <w10:anchorlock/>
              </v:group>
            </w:pict>
          </w:r>
        </w:p>
      </w:tc>
      <w:tc>
        <w:tcPr>
          <w:tcW w:w="7513" w:type="dxa"/>
        </w:tcPr>
        <w:p w14:paraId="31DDAFC8" w14:textId="77777777" w:rsidR="002A1E8B" w:rsidRPr="00617E6C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2"/>
              <w:szCs w:val="22"/>
            </w:rPr>
            <w:t>Programa de Pós-Graduação em Políticas Públicas, Estratégias e Desenvolvimento</w:t>
          </w:r>
        </w:p>
        <w:p w14:paraId="20AD55FD" w14:textId="77777777" w:rsidR="002464A6" w:rsidRPr="00617E6C" w:rsidRDefault="002464A6">
          <w:pPr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</w:p>
        <w:p w14:paraId="34C88594" w14:textId="77777777" w:rsidR="002464A6" w:rsidRPr="00617E6C" w:rsidRDefault="002A1E8B" w:rsidP="00CF20A6">
          <w:pPr>
            <w:jc w:val="center"/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</w:pPr>
          <w:r w:rsidRPr="00617E6C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IEP </w:t>
          </w:r>
          <w:r w:rsidR="00584975"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>807 Economia da Tecnologia</w:t>
          </w:r>
        </w:p>
        <w:p w14:paraId="0BB9613A" w14:textId="0F92891E" w:rsidR="002A1E8B" w:rsidRDefault="00584975" w:rsidP="00CF20A6">
          <w:pPr>
            <w:jc w:val="center"/>
            <w:rPr>
              <w:rFonts w:ascii="Bookman Old Style" w:hAnsi="Bookman Old Style" w:cs="Verdana"/>
              <w:b/>
              <w:bCs/>
              <w:shadow/>
              <w:sz w:val="20"/>
              <w:szCs w:val="20"/>
            </w:rPr>
          </w:pPr>
          <w:r>
            <w:rPr>
              <w:rFonts w:ascii="Abadi MT Condensed Extra Bold" w:hAnsi="Abadi MT Condensed Extra Bold" w:cs="Verdana"/>
              <w:b/>
              <w:bCs/>
              <w:shadow/>
              <w:sz w:val="20"/>
              <w:szCs w:val="20"/>
            </w:rPr>
            <w:t xml:space="preserve">Julia Paranhos </w:t>
          </w:r>
        </w:p>
      </w:tc>
      <w:tc>
        <w:tcPr>
          <w:tcW w:w="1417" w:type="dxa"/>
        </w:tcPr>
        <w:p w14:paraId="61D3951B" w14:textId="77777777" w:rsidR="002A1E8B" w:rsidRDefault="00C83A7B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pict w14:anchorId="55E07B08">
              <v:shape id="_x0000_s1028" type="#_x0000_t75" style="position:absolute;left:0;text-align:left;margin-left:.9pt;margin-top:4.65pt;width:60.95pt;height:49.8pt;z-index:2;mso-position-horizontal-relative:text;mso-position-vertical-relative:text">
                <v:imagedata r:id="rId2" o:title="ie" cropbottom="15755f" cropleft="1228f" cropright="32280f"/>
                <w10:wrap type="topAndBottom"/>
              </v:shape>
            </w:pict>
          </w:r>
        </w:p>
      </w:tc>
    </w:tr>
  </w:tbl>
  <w:p w14:paraId="250E15F3" w14:textId="77777777" w:rsidR="006B631E" w:rsidRDefault="006B631E">
    <w:pPr>
      <w:pStyle w:val="Cabealho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BDB58" w14:textId="77777777" w:rsidR="00FE7897" w:rsidRDefault="00FE789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numFmt w:val="chicago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0BFD"/>
    <w:rsid w:val="00017766"/>
    <w:rsid w:val="00084636"/>
    <w:rsid w:val="0014397D"/>
    <w:rsid w:val="0018620E"/>
    <w:rsid w:val="002278AE"/>
    <w:rsid w:val="002464A6"/>
    <w:rsid w:val="002A1E8B"/>
    <w:rsid w:val="002D0BD7"/>
    <w:rsid w:val="0037424D"/>
    <w:rsid w:val="003C344A"/>
    <w:rsid w:val="004456FE"/>
    <w:rsid w:val="004E4677"/>
    <w:rsid w:val="00584975"/>
    <w:rsid w:val="00617E6C"/>
    <w:rsid w:val="00653B8B"/>
    <w:rsid w:val="006A0CC0"/>
    <w:rsid w:val="006B631E"/>
    <w:rsid w:val="00722CCB"/>
    <w:rsid w:val="007D6F01"/>
    <w:rsid w:val="00934245"/>
    <w:rsid w:val="00970BFD"/>
    <w:rsid w:val="009B4624"/>
    <w:rsid w:val="00AF0325"/>
    <w:rsid w:val="00BB1CEA"/>
    <w:rsid w:val="00C722F1"/>
    <w:rsid w:val="00C83A7B"/>
    <w:rsid w:val="00CF20A6"/>
    <w:rsid w:val="00E665B4"/>
    <w:rsid w:val="00EF340B"/>
    <w:rsid w:val="00FC1D6C"/>
    <w:rsid w:val="00FC73EC"/>
    <w:rsid w:val="00FE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9CBA3C"/>
  <w14:defaultImageDpi w14:val="300"/>
  <w15:chartTrackingRefBased/>
  <w15:docId w15:val="{9AA6FD4B-B72C-4D0E-8890-555617116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4353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Ana.Elizabeth</cp:lastModifiedBy>
  <cp:revision>4</cp:revision>
  <cp:lastPrinted>2018-09-13T15:56:00Z</cp:lastPrinted>
  <dcterms:created xsi:type="dcterms:W3CDTF">2022-03-11T15:32:00Z</dcterms:created>
  <dcterms:modified xsi:type="dcterms:W3CDTF">2025-06-30T14:27:00Z</dcterms:modified>
</cp:coreProperties>
</file>