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314.0" w:type="dxa"/>
        <w:jc w:val="left"/>
        <w:tblInd w:w="0.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10314"/>
        <w:tblGridChange w:id="0">
          <w:tblGrid>
            <w:gridCol w:w="10314"/>
          </w:tblGrid>
        </w:tblGridChange>
      </w:tblGrid>
      <w:tr>
        <w:trPr>
          <w:cantSplit w:val="0"/>
          <w:trHeight w:val="2090" w:hRule="atLeast"/>
          <w:tblHeader w:val="0"/>
        </w:trPr>
        <w:tc>
          <w:tcPr/>
          <w:p w:rsidR="00000000" w:rsidDel="00000000" w:rsidP="00000000" w:rsidRDefault="00000000" w:rsidRPr="00000000" w14:paraId="00000003">
            <w:pPr>
              <w:spacing w:before="120" w:lineRule="auto"/>
              <w:rPr>
                <w:rFonts w:ascii="Avenir" w:cs="Avenir" w:eastAsia="Avenir" w:hAnsi="Avenir"/>
                <w:b w:val="1"/>
                <w:color w:val="000000"/>
                <w:sz w:val="22"/>
                <w:szCs w:val="22"/>
              </w:rPr>
            </w:pPr>
            <w:r w:rsidDel="00000000" w:rsidR="00000000" w:rsidRPr="00000000">
              <w:rPr>
                <w:rFonts w:ascii="Avenir" w:cs="Avenir" w:eastAsia="Avenir" w:hAnsi="Avenir"/>
                <w:b w:val="1"/>
                <w:color w:val="000000"/>
                <w:sz w:val="22"/>
                <w:szCs w:val="22"/>
                <w:rtl w:val="0"/>
              </w:rPr>
              <w:t xml:space="preserve">Objetivo: Regulação de Monopólios e Mercados</w:t>
            </w:r>
          </w:p>
          <w:p w:rsidR="00000000" w:rsidDel="00000000" w:rsidP="00000000" w:rsidRDefault="00000000" w:rsidRPr="00000000" w14:paraId="00000004">
            <w:pPr>
              <w:jc w:val="both"/>
              <w:rPr/>
            </w:pPr>
            <w:r w:rsidDel="00000000" w:rsidR="00000000" w:rsidRPr="00000000">
              <w:rPr>
                <w:rtl w:val="0"/>
              </w:rPr>
              <w:t xml:space="preserve">O curso tem quatro partes e por objetivo principal oferecer aos alunos um quadro atualizado da teoria da regulação dos mercados caracterizados como serviços públicos e/ou estratégicos, como energia e infraestrutura.  Na primeira parte, serão apresentadas as motivações, a formulação tradicional da regulação dos monopólios e as diferentes abordagens econômicas da regulação.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 segunda parte, estudaremos as reformas regulatórias recentes e os principais atributos do exercício da regulação tais como transparência,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enforcement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controle externo e AIR (avaliação de Impacto Regulatório).</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 terceira parte, examinaremos as inovações propostas no sentido de estimular a busca da eficiência microeconômica pelos agentes monopolistas, procurando minimizar as intervenções do regulador na operação das empresas (regulação incentivada, regulação “leve”); esta análise examina efeitos desses esquemas sobre eficiência econômica, distribuição do excedente e qualidade dos serviços. Na quarta parte, a análise centra-se na discussão da evolução recente do processo de reorganização industrial nessas indústrias, com foco nos instrumentos contratuais usualmente vigentes como contratos de concessão, de serviços, de partilha (caso petróleo), os quais buscam estabelecer os corretos regimes de incentivos e repartição de rendas econômicas entre Estado e empresas. Esta evolução recoloca o tema da regulação de forma nova, refletindo especificidades de cada cadeia produtiva e um foco preciso na regulação dos contratos. </w:t>
            </w:r>
          </w:p>
          <w:p w:rsidR="00000000" w:rsidDel="00000000" w:rsidP="00000000" w:rsidRDefault="00000000" w:rsidRPr="00000000" w14:paraId="00000007">
            <w:pPr>
              <w:jc w:val="both"/>
              <w:rPr>
                <w:rFonts w:ascii="Avenir" w:cs="Avenir" w:eastAsia="Avenir" w:hAnsi="Avenir"/>
                <w:color w:val="000000"/>
                <w:sz w:val="22"/>
                <w:szCs w:val="22"/>
              </w:rPr>
            </w:pPr>
            <w:r w:rsidDel="00000000" w:rsidR="00000000" w:rsidRPr="00000000">
              <w:rPr>
                <w:rtl w:val="0"/>
              </w:rPr>
            </w:r>
          </w:p>
        </w:tc>
      </w:tr>
    </w:tbl>
    <w:p w:rsidR="00000000" w:rsidDel="00000000" w:rsidP="00000000" w:rsidRDefault="00000000" w:rsidRPr="00000000" w14:paraId="00000008">
      <w:pPr>
        <w:rPr>
          <w:sz w:val="16"/>
          <w:szCs w:val="16"/>
        </w:rPr>
      </w:pPr>
      <w:r w:rsidDel="00000000" w:rsidR="00000000" w:rsidRPr="00000000">
        <w:rPr>
          <w:rtl w:val="0"/>
        </w:rPr>
      </w:r>
    </w:p>
    <w:tbl>
      <w:tblPr>
        <w:tblStyle w:val="Table2"/>
        <w:tblW w:w="10314.0" w:type="dxa"/>
        <w:jc w:val="left"/>
        <w:tblInd w:w="0.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10314"/>
        <w:tblGridChange w:id="0">
          <w:tblGrid>
            <w:gridCol w:w="10314"/>
          </w:tblGrid>
        </w:tblGridChange>
      </w:tblGrid>
      <w:tr>
        <w:trPr>
          <w:cantSplit w:val="0"/>
          <w:trHeight w:val="4253" w:hRule="atLeast"/>
          <w:tblHeader w:val="0"/>
        </w:trPr>
        <w:tc>
          <w:tcPr/>
          <w:p w:rsidR="00000000" w:rsidDel="00000000" w:rsidP="00000000" w:rsidRDefault="00000000" w:rsidRPr="00000000" w14:paraId="00000009">
            <w:pPr>
              <w:spacing w:before="120" w:lineRule="auto"/>
              <w:rPr>
                <w:rFonts w:ascii="Avenir" w:cs="Avenir" w:eastAsia="Avenir" w:hAnsi="Avenir"/>
                <w:b w:val="1"/>
                <w:color w:val="000000"/>
                <w:sz w:val="22"/>
                <w:szCs w:val="22"/>
                <w:u w:val="single"/>
              </w:rPr>
            </w:pPr>
            <w:r w:rsidDel="00000000" w:rsidR="00000000" w:rsidRPr="00000000">
              <w:rPr>
                <w:rFonts w:ascii="Avenir" w:cs="Avenir" w:eastAsia="Avenir" w:hAnsi="Avenir"/>
                <w:b w:val="1"/>
                <w:color w:val="000000"/>
                <w:sz w:val="22"/>
                <w:szCs w:val="22"/>
                <w:u w:val="single"/>
                <w:rtl w:val="0"/>
              </w:rPr>
              <w:t xml:space="preserve">Programa e bibliografia </w:t>
            </w:r>
          </w:p>
          <w:p w:rsidR="00000000" w:rsidDel="00000000" w:rsidP="00000000" w:rsidRDefault="00000000" w:rsidRPr="00000000" w14:paraId="0000000A">
            <w:pPr>
              <w:pStyle w:val="Heading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Parte I: Regulação Tradicional de Monopólios (2 sessões)</w:t>
            </w:r>
          </w:p>
          <w:p w:rsidR="00000000" w:rsidDel="00000000" w:rsidP="00000000" w:rsidRDefault="00000000" w:rsidRPr="00000000" w14:paraId="0000000B">
            <w:pPr>
              <w:pStyle w:val="Heading3"/>
              <w:spacing w:line="360" w:lineRule="auto"/>
              <w:ind w:firstLine="352"/>
              <w:jc w:val="both"/>
              <w:rPr>
                <w:smallCaps w:val="1"/>
              </w:rPr>
            </w:pPr>
            <w:r w:rsidDel="00000000" w:rsidR="00000000" w:rsidRPr="00000000">
              <w:rPr>
                <w:smallCaps w:val="1"/>
                <w:rtl w:val="0"/>
              </w:rPr>
              <w:t xml:space="preserve">Serviços públicos e monopólios naturais. Motivações e Conceitos Básicos.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70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Definição de Indústrias de Rede. Serviços públicos e serviços de utilidade pública. Razão de ser da regulação. Monopólios naturais fortes e fracos. Questões tradicionais na tarifação de serviços públicos. </w:t>
            </w:r>
          </w:p>
          <w:p w:rsidR="00000000" w:rsidDel="00000000" w:rsidP="00000000" w:rsidRDefault="00000000" w:rsidRPr="00000000" w14:paraId="0000000D">
            <w:pPr>
              <w:pStyle w:val="Heading3"/>
              <w:ind w:firstLine="352"/>
              <w:rPr>
                <w:smallCaps w:val="1"/>
              </w:rPr>
            </w:pPr>
            <w:r w:rsidDel="00000000" w:rsidR="00000000" w:rsidRPr="00000000">
              <w:rPr>
                <w:smallCaps w:val="1"/>
                <w:rtl w:val="0"/>
              </w:rPr>
              <w:t xml:space="preserve">Especificidades de indústrias de rede.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70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Integração e coordenação. Verticalização e desverticalização em indústrias de rede. O problema do livre acesso.</w:t>
            </w:r>
          </w:p>
          <w:p w:rsidR="00000000" w:rsidDel="00000000" w:rsidP="00000000" w:rsidRDefault="00000000" w:rsidRPr="00000000" w14:paraId="0000000F">
            <w:pPr>
              <w:pStyle w:val="Heading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Parte II: Reformas Regulatórias e Atributos da Regulação Econômica (2 sessões)</w:t>
            </w:r>
          </w:p>
          <w:p w:rsidR="00000000" w:rsidDel="00000000" w:rsidP="00000000" w:rsidRDefault="00000000" w:rsidRPr="00000000" w14:paraId="00000010">
            <w:pPr>
              <w:pStyle w:val="Heading3"/>
              <w:ind w:firstLine="352"/>
              <w:rPr>
                <w:smallCaps w:val="1"/>
              </w:rPr>
            </w:pPr>
            <w:r w:rsidDel="00000000" w:rsidR="00000000" w:rsidRPr="00000000">
              <w:rPr>
                <w:smallCaps w:val="1"/>
                <w:rtl w:val="0"/>
              </w:rPr>
              <w:t xml:space="preserve">Mudanças nas instituições regulatórias e novos desenhos institucionais</w:t>
            </w:r>
          </w:p>
          <w:p w:rsidR="00000000" w:rsidDel="00000000" w:rsidP="00000000" w:rsidRDefault="00000000" w:rsidRPr="00000000" w14:paraId="00000011">
            <w:pPr>
              <w:pStyle w:val="Heading3"/>
              <w:ind w:firstLine="356"/>
              <w:rPr>
                <w:b w:val="0"/>
              </w:rPr>
            </w:pPr>
            <w:r w:rsidDel="00000000" w:rsidR="00000000" w:rsidRPr="00000000">
              <w:rPr>
                <w:b w:val="0"/>
                <w:rtl w:val="0"/>
              </w:rPr>
              <w:t xml:space="preserve">Introdução de Pressões Concorrenciais e a Regulação Econômica. O Surgimento os Reguladores Setoriais. Desenho Institucional e Regulação </w:t>
            </w:r>
          </w:p>
          <w:p w:rsidR="00000000" w:rsidDel="00000000" w:rsidP="00000000" w:rsidRDefault="00000000" w:rsidRPr="00000000" w14:paraId="00000012">
            <w:pPr>
              <w:pStyle w:val="Heading3"/>
              <w:ind w:firstLine="352"/>
              <w:rPr>
                <w:smallCaps w:val="1"/>
              </w:rPr>
            </w:pPr>
            <w:r w:rsidDel="00000000" w:rsidR="00000000" w:rsidRPr="00000000">
              <w:rPr>
                <w:rtl w:val="0"/>
              </w:rPr>
            </w:r>
          </w:p>
          <w:p w:rsidR="00000000" w:rsidDel="00000000" w:rsidP="00000000" w:rsidRDefault="00000000" w:rsidRPr="00000000" w14:paraId="00000013">
            <w:pPr>
              <w:pStyle w:val="Heading3"/>
              <w:ind w:firstLine="352"/>
              <w:rPr>
                <w:smallCaps w:val="1"/>
              </w:rPr>
            </w:pPr>
            <w:r w:rsidDel="00000000" w:rsidR="00000000" w:rsidRPr="00000000">
              <w:rPr>
                <w:smallCaps w:val="1"/>
                <w:rtl w:val="0"/>
              </w:rPr>
              <w:t xml:space="preserve">best practices em regulação setorial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70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Atributos do Exercício de Regulação. Regulação e Políticas Setoriais: a relação do Regulador Autônomo e o Poder Executivo</w:t>
            </w:r>
          </w:p>
          <w:p w:rsidR="00000000" w:rsidDel="00000000" w:rsidP="00000000" w:rsidRDefault="00000000" w:rsidRPr="00000000" w14:paraId="00000015">
            <w:pPr>
              <w:pStyle w:val="Heading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Parte III: Instrumentos Econômicos e Regulação (4 sessões)</w:t>
            </w:r>
          </w:p>
          <w:p w:rsidR="00000000" w:rsidDel="00000000" w:rsidP="00000000" w:rsidRDefault="00000000" w:rsidRPr="00000000" w14:paraId="00000016">
            <w:pPr>
              <w:pStyle w:val="Heading3"/>
              <w:spacing w:line="360" w:lineRule="auto"/>
              <w:ind w:firstLine="352"/>
              <w:jc w:val="both"/>
              <w:rPr>
                <w:smallCaps w:val="1"/>
              </w:rPr>
            </w:pPr>
            <w:r w:rsidDel="00000000" w:rsidR="00000000" w:rsidRPr="00000000">
              <w:rPr>
                <w:rtl w:val="0"/>
              </w:rPr>
            </w:r>
          </w:p>
          <w:p w:rsidR="00000000" w:rsidDel="00000000" w:rsidP="00000000" w:rsidRDefault="00000000" w:rsidRPr="00000000" w14:paraId="00000017">
            <w:pPr>
              <w:pStyle w:val="Heading3"/>
              <w:spacing w:line="360" w:lineRule="auto"/>
              <w:ind w:firstLine="352"/>
              <w:jc w:val="both"/>
              <w:rPr>
                <w:smallCaps w:val="1"/>
              </w:rPr>
            </w:pPr>
            <w:r w:rsidDel="00000000" w:rsidR="00000000" w:rsidRPr="00000000">
              <w:rPr>
                <w:smallCaps w:val="1"/>
                <w:rtl w:val="0"/>
              </w:rPr>
              <w:t xml:space="preserve">Formação de preços em monopólios sob regulação.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70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Tarifação ao custo de serviço. Regulação por “price cap” e variantes.</w:t>
            </w:r>
          </w:p>
          <w:p w:rsidR="00000000" w:rsidDel="00000000" w:rsidP="00000000" w:rsidRDefault="00000000" w:rsidRPr="00000000" w14:paraId="00000019">
            <w:pPr>
              <w:pStyle w:val="Heading3"/>
              <w:ind w:firstLine="352"/>
              <w:rPr>
                <w:smallCaps w:val="1"/>
              </w:rPr>
            </w:pPr>
            <w:r w:rsidDel="00000000" w:rsidR="00000000" w:rsidRPr="00000000">
              <w:rPr>
                <w:smallCaps w:val="1"/>
                <w:rtl w:val="0"/>
              </w:rPr>
              <w:t xml:space="preserve">Crítica da regulação tradicional. Restrições regulatórias.</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70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Assimetria informacional. Problema da Captura. Efeito Averch-Johnson. O jogo regulatório. Visões distintas. Regulação e colusão. </w:t>
            </w:r>
          </w:p>
          <w:p w:rsidR="00000000" w:rsidDel="00000000" w:rsidP="00000000" w:rsidRDefault="00000000" w:rsidRPr="00000000" w14:paraId="0000001B">
            <w:pPr>
              <w:pStyle w:val="Heading3"/>
              <w:ind w:firstLine="352"/>
              <w:rPr>
                <w:smallCaps w:val="1"/>
              </w:rPr>
            </w:pPr>
            <w:r w:rsidDel="00000000" w:rsidR="00000000" w:rsidRPr="00000000">
              <w:rPr>
                <w:smallCaps w:val="1"/>
                <w:rtl w:val="0"/>
              </w:rPr>
              <w:t xml:space="preserve">Regulação com Incentivos.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70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Regulação por “price cap” e variantes. Regulação da qualidade de serviço. Competição por padrões. Mudança tecnológica e regulação</w:t>
            </w:r>
          </w:p>
          <w:p w:rsidR="00000000" w:rsidDel="00000000" w:rsidP="00000000" w:rsidRDefault="00000000" w:rsidRPr="00000000" w14:paraId="0000001D">
            <w:pPr>
              <w:pStyle w:val="Heading3"/>
              <w:ind w:firstLine="352"/>
              <w:rPr>
                <w:smallCaps w:val="1"/>
              </w:rPr>
            </w:pPr>
            <w:r w:rsidDel="00000000" w:rsidR="00000000" w:rsidRPr="00000000">
              <w:rPr>
                <w:rtl w:val="0"/>
              </w:rPr>
            </w:r>
          </w:p>
          <w:p w:rsidR="00000000" w:rsidDel="00000000" w:rsidP="00000000" w:rsidRDefault="00000000" w:rsidRPr="00000000" w14:paraId="0000001E">
            <w:pPr>
              <w:pStyle w:val="Heading3"/>
              <w:ind w:firstLine="352"/>
              <w:rPr>
                <w:smallCaps w:val="1"/>
              </w:rPr>
            </w:pPr>
            <w:r w:rsidDel="00000000" w:rsidR="00000000" w:rsidRPr="00000000">
              <w:rPr>
                <w:smallCaps w:val="1"/>
                <w:rtl w:val="0"/>
              </w:rPr>
              <w:t xml:space="preserve">diferentes modalidades contratuais nas indústrias de energia e infraestrutura</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70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Repartição de Rendas entre Agentes Econômicos e Estado. Incentivos presentes em Contratos de Concessão. Outras Modalidades Contratuais (Contratos de Serviços, Contrato de Partilha)</w:t>
            </w:r>
          </w:p>
          <w:p w:rsidR="00000000" w:rsidDel="00000000" w:rsidP="00000000" w:rsidRDefault="00000000" w:rsidRPr="00000000" w14:paraId="00000020">
            <w:pPr>
              <w:spacing w:after="60" w:lineRule="auto"/>
              <w:ind w:left="709" w:firstLine="0"/>
              <w:jc w:val="both"/>
              <w:rPr>
                <w:rFonts w:ascii="Avenir" w:cs="Avenir" w:eastAsia="Avenir" w:hAnsi="Avenir"/>
                <w:color w:val="000000"/>
                <w:sz w:val="22"/>
                <w:szCs w:val="22"/>
              </w:rPr>
            </w:pPr>
            <w:r w:rsidDel="00000000" w:rsidR="00000000" w:rsidRPr="00000000">
              <w:rPr>
                <w:rtl w:val="0"/>
              </w:rPr>
            </w:r>
          </w:p>
          <w:p w:rsidR="00000000" w:rsidDel="00000000" w:rsidP="00000000" w:rsidRDefault="00000000" w:rsidRPr="00000000" w14:paraId="00000021">
            <w:pPr>
              <w:spacing w:after="60" w:lineRule="auto"/>
              <w:ind w:left="709" w:firstLine="0"/>
              <w:jc w:val="both"/>
              <w:rPr>
                <w:b w:val="1"/>
                <w:color w:val="000000"/>
              </w:rPr>
            </w:pPr>
            <w:r w:rsidDel="00000000" w:rsidR="00000000" w:rsidRPr="00000000">
              <w:rPr>
                <w:b w:val="1"/>
                <w:color w:val="000000"/>
                <w:rtl w:val="0"/>
              </w:rPr>
              <w:t xml:space="preserve">Bibliografia</w:t>
            </w:r>
          </w:p>
          <w:p w:rsidR="00000000" w:rsidDel="00000000" w:rsidP="00000000" w:rsidRDefault="00000000" w:rsidRPr="00000000" w14:paraId="00000022">
            <w:pPr>
              <w:jc w:val="both"/>
              <w:rPr>
                <w:rFonts w:ascii="Avenir" w:cs="Avenir" w:eastAsia="Avenir" w:hAnsi="Avenir"/>
                <w:color w:val="000000"/>
                <w:sz w:val="22"/>
                <w:szCs w:val="22"/>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BALDWIN, R., CAVE, M. e LODGE, M., The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Oxford Handbook of Regulation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Oxford University Press, 2013.</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505" w:right="0" w:hanging="50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BERG, S.V.; TSCHIRHART, J.,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Natural monopoly regulation: Principles and practice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Cambridge University Press, NY 1988 (apenas partes)</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BROUSSEAU, E. E GLACHANT, J. M.,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New Institutional Economics,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Cambridge Universitry Press, 2009</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BROUSSEAU, E. E GLACHANT, J. M.,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The Economics of Contracts : theories and applications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Cambridge Universitry Press, 2002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JOSKOW, P. , org.</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ECONOMIC REGULATION,  HANDBOOK,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Cambridge Press, MIT, 2001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JOSKOW, P.,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Regulation Of Natural Monopolies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Cambridge Press, MIT, 2005</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505" w:right="0" w:hanging="50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KAHN, A. 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The Economics of Regulation: Principles and institutions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MIT Press, Cambridge (Mass) 1989 (2nd Ed.) (um clássico!)</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LYON, T.P.,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The Political Economy of Regulation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Edward Elgar, 2007</w:t>
            </w:r>
          </w:p>
          <w:p w:rsidR="00000000" w:rsidDel="00000000" w:rsidP="00000000" w:rsidRDefault="00000000" w:rsidRPr="00000000" w14:paraId="0000002B">
            <w:pPr>
              <w:pStyle w:val="Heading4"/>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SPULBER, D. F., </w:t>
            </w:r>
            <w:r w:rsidDel="00000000" w:rsidR="00000000" w:rsidRPr="00000000">
              <w:rPr>
                <w:rFonts w:ascii="Times New Roman" w:cs="Times New Roman" w:eastAsia="Times New Roman" w:hAnsi="Times New Roman"/>
                <w:b w:val="0"/>
                <w:i w:val="1"/>
                <w:sz w:val="24"/>
                <w:szCs w:val="24"/>
                <w:rtl w:val="0"/>
              </w:rPr>
              <w:t xml:space="preserve">Regulation and Markets</w:t>
            </w:r>
            <w:r w:rsidDel="00000000" w:rsidR="00000000" w:rsidRPr="00000000">
              <w:rPr>
                <w:rFonts w:ascii="Times New Roman" w:cs="Times New Roman" w:eastAsia="Times New Roman" w:hAnsi="Times New Roman"/>
                <w:b w:val="0"/>
                <w:sz w:val="24"/>
                <w:szCs w:val="24"/>
                <w:rtl w:val="0"/>
              </w:rPr>
              <w:t xml:space="preserve">; MIT Press, Cambridge (Mass.) 1989</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505" w:right="0" w:hanging="50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VISCUSI, W. K.; VERNON, J. M.; HARRINGTON, J. 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Economics of Regulation and Antitrust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superscript"/>
                <w:rtl w:val="0"/>
              </w:rPr>
              <w:t xml:space="preserve">nd</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Edition)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MIT Press, Cambridge (Mass.) (1997)</w:t>
            </w:r>
          </w:p>
          <w:p w:rsidR="00000000" w:rsidDel="00000000" w:rsidP="00000000" w:rsidRDefault="00000000" w:rsidRPr="00000000" w14:paraId="0000002D">
            <w:pPr>
              <w:rPr>
                <w:b w:val="1"/>
              </w:rPr>
            </w:pPr>
            <w:r w:rsidDel="00000000" w:rsidR="00000000" w:rsidRPr="00000000">
              <w:rPr>
                <w:b w:val="1"/>
                <w:rtl w:val="0"/>
              </w:rPr>
              <w:t xml:space="preserve">Além destes, serão utilizados artigos e working papers da atualidade sobre pontos específicos sobre Regulação Econômica, a serem divulgados com antecedência suficiente.</w:t>
            </w:r>
          </w:p>
          <w:p w:rsidR="00000000" w:rsidDel="00000000" w:rsidP="00000000" w:rsidRDefault="00000000" w:rsidRPr="00000000" w14:paraId="0000002E">
            <w:pPr>
              <w:spacing w:after="60" w:lineRule="auto"/>
              <w:ind w:left="284" w:hanging="284"/>
              <w:jc w:val="both"/>
              <w:rPr>
                <w:rFonts w:ascii="Avenir" w:cs="Avenir" w:eastAsia="Avenir" w:hAnsi="Avenir"/>
                <w:color w:val="000000"/>
                <w:sz w:val="22"/>
                <w:szCs w:val="22"/>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venir" w:cs="Avenir" w:eastAsia="Avenir" w:hAnsi="Avenir"/>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spacing w:after="60" w:lineRule="auto"/>
              <w:ind w:left="284" w:hanging="284"/>
              <w:jc w:val="both"/>
              <w:rPr>
                <w:rFonts w:ascii="Avenir" w:cs="Avenir" w:eastAsia="Avenir" w:hAnsi="Avenir"/>
                <w:color w:val="000000"/>
                <w:sz w:val="22"/>
                <w:szCs w:val="22"/>
              </w:rPr>
            </w:pPr>
            <w:r w:rsidDel="00000000" w:rsidR="00000000" w:rsidRPr="00000000">
              <w:rPr>
                <w:rtl w:val="0"/>
              </w:rPr>
            </w:r>
          </w:p>
        </w:tc>
      </w:tr>
    </w:tbl>
    <w:p w:rsidR="00000000" w:rsidDel="00000000" w:rsidP="00000000" w:rsidRDefault="00000000" w:rsidRPr="00000000" w14:paraId="00000031">
      <w:pPr>
        <w:rPr>
          <w:rFonts w:ascii="Cambria" w:cs="Cambria" w:eastAsia="Cambria" w:hAnsi="Cambria"/>
        </w:rPr>
      </w:pPr>
      <w:r w:rsidDel="00000000" w:rsidR="00000000" w:rsidRPr="00000000">
        <w:rPr>
          <w:rtl w:val="0"/>
        </w:rPr>
      </w:r>
    </w:p>
    <w:p w:rsidR="00000000" w:rsidDel="00000000" w:rsidP="00000000" w:rsidRDefault="00000000" w:rsidRPr="00000000" w14:paraId="00000032">
      <w:pPr>
        <w:rPr>
          <w:rFonts w:ascii="Cambria" w:cs="Cambria" w:eastAsia="Cambria" w:hAnsi="Cambria"/>
        </w:rPr>
      </w:pPr>
      <w:r w:rsidDel="00000000" w:rsidR="00000000" w:rsidRPr="00000000">
        <w:rPr>
          <w:rtl w:val="0"/>
        </w:rPr>
      </w:r>
    </w:p>
    <w:p w:rsidR="00000000" w:rsidDel="00000000" w:rsidP="00000000" w:rsidRDefault="00000000" w:rsidRPr="00000000" w14:paraId="00000033">
      <w:pPr>
        <w:rPr>
          <w:rFonts w:ascii="Cambria" w:cs="Cambria" w:eastAsia="Cambria" w:hAnsi="Cambria"/>
        </w:rPr>
      </w:pPr>
      <w:r w:rsidDel="00000000" w:rsidR="00000000" w:rsidRPr="00000000">
        <w:rPr>
          <w:rtl w:val="0"/>
        </w:rPr>
      </w:r>
    </w:p>
    <w:sectPr>
      <w:headerReference r:id="rId9" w:type="default"/>
      <w:pgSz w:h="16838" w:w="11906" w:orient="portrait"/>
      <w:pgMar w:bottom="720" w:top="720" w:left="720" w:right="72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ambria"/>
  <w:font w:name="Bookman Old Style"/>
  <w:font w:name="Abadi MT Condensed Extra Bold"/>
  <w:font w:name="Avenir"/>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bl>
    <w:tblPr>
      <w:tblStyle w:val="Table3"/>
      <w:tblW w:w="10313.999999999998" w:type="dxa"/>
      <w:jc w:val="left"/>
      <w:tblInd w:w="0.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1384"/>
      <w:gridCol w:w="7513"/>
      <w:gridCol w:w="1417"/>
      <w:tblGridChange w:id="0">
        <w:tblGrid>
          <w:gridCol w:w="1384"/>
          <w:gridCol w:w="7513"/>
          <w:gridCol w:w="1417"/>
        </w:tblGrid>
      </w:tblGridChange>
    </w:tblGrid>
    <w:tr>
      <w:trPr>
        <w:cantSplit w:val="0"/>
        <w:trHeight w:val="589" w:hRule="atLeast"/>
        <w:tblHeader w:val="0"/>
      </w:trPr>
      <w:tc>
        <w:tcPr/>
        <w:p w:rsidR="00000000" w:rsidDel="00000000" w:rsidP="00000000" w:rsidRDefault="00000000" w:rsidRPr="00000000" w14:paraId="00000035">
          <w:pPr>
            <w:rPr>
              <w:sz w:val="8"/>
              <w:szCs w:val="8"/>
            </w:rPr>
          </w:pPr>
          <w:r w:rsidDel="00000000" w:rsidR="00000000" w:rsidRPr="00000000">
            <w:rPr>
              <w:rtl w:val="0"/>
            </w:rPr>
          </w:r>
          <w:r w:rsidDel="00000000" w:rsidR="00000000" w:rsidRPr="00000000">
            <w:pict>
              <v:shape id="_x0000_s1036" style="position:absolute;margin-left:1.85pt;margin-top:4.6pt;width:53.2pt;height:60.25pt;z-index:3;mso-position-horizontal:absolute;mso-position-vertical:absolute;mso-position-horizontal-relative:margin;mso-position-vertical-relative:text;" type="#_x0000_t75">
                <v:imagedata r:id="rId1" o:title=""/>
              </v:shape>
            </w:pict>
          </w:r>
        </w:p>
      </w:tc>
      <w:tc>
        <w:tcPr/>
        <w:p w:rsidR="00000000" w:rsidDel="00000000" w:rsidP="00000000" w:rsidRDefault="00000000" w:rsidRPr="00000000" w14:paraId="00000036">
          <w:pPr>
            <w:ind w:right="284"/>
            <w:jc w:val="center"/>
            <w:rPr>
              <w:rFonts w:ascii="Abadi MT Condensed Extra Bold" w:cs="Abadi MT Condensed Extra Bold" w:eastAsia="Abadi MT Condensed Extra Bold" w:hAnsi="Abadi MT Condensed Extra Bold"/>
              <w:b w:val="1"/>
              <w:sz w:val="22"/>
              <w:szCs w:val="22"/>
            </w:rPr>
          </w:pPr>
          <w:r w:rsidDel="00000000" w:rsidR="00000000" w:rsidRPr="00000000">
            <w:rPr>
              <w:rFonts w:ascii="Abadi MT Condensed Extra Bold" w:cs="Abadi MT Condensed Extra Bold" w:eastAsia="Abadi MT Condensed Extra Bold" w:hAnsi="Abadi MT Condensed Extra Bold"/>
              <w:b w:val="1"/>
              <w:sz w:val="22"/>
              <w:szCs w:val="22"/>
              <w:rtl w:val="0"/>
            </w:rPr>
            <w:t xml:space="preserve">Programa de Pós-Graduação em Políticas Públicas, Estratégias e Desenvolvimento</w:t>
          </w:r>
        </w:p>
        <w:p w:rsidR="00000000" w:rsidDel="00000000" w:rsidP="00000000" w:rsidRDefault="00000000" w:rsidRPr="00000000" w14:paraId="00000037">
          <w:pPr>
            <w:rPr>
              <w:rFonts w:ascii="Abadi MT Condensed Extra Bold" w:cs="Abadi MT Condensed Extra Bold" w:eastAsia="Abadi MT Condensed Extra Bold" w:hAnsi="Abadi MT Condensed Extra Bold"/>
              <w:b w:val="1"/>
              <w:sz w:val="20"/>
              <w:szCs w:val="20"/>
            </w:rPr>
          </w:pPr>
          <w:r w:rsidDel="00000000" w:rsidR="00000000" w:rsidRPr="00000000">
            <w:rPr>
              <w:rtl w:val="0"/>
            </w:rPr>
          </w:r>
        </w:p>
        <w:p w:rsidR="00000000" w:rsidDel="00000000" w:rsidP="00000000" w:rsidRDefault="00000000" w:rsidRPr="00000000" w14:paraId="00000038">
          <w:pPr>
            <w:spacing w:line="360" w:lineRule="auto"/>
            <w:jc w:val="center"/>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IEP </w:t>
          </w:r>
          <w:r w:rsidDel="00000000" w:rsidR="00000000" w:rsidRPr="00000000">
            <w:rPr>
              <w:rFonts w:ascii="Avenir" w:cs="Avenir" w:eastAsia="Avenir" w:hAnsi="Avenir"/>
              <w:b w:val="1"/>
              <w:smallCaps w:val="1"/>
              <w:sz w:val="22"/>
              <w:szCs w:val="22"/>
              <w:rtl w:val="0"/>
            </w:rPr>
            <w:t xml:space="preserve">854 Regulação de Monopólios e Mercados </w:t>
          </w:r>
          <w:r w:rsidDel="00000000" w:rsidR="00000000" w:rsidRPr="00000000">
            <w:rPr>
              <w:rtl w:val="0"/>
            </w:rPr>
          </w:r>
        </w:p>
        <w:p w:rsidR="00000000" w:rsidDel="00000000" w:rsidP="00000000" w:rsidRDefault="00000000" w:rsidRPr="00000000" w14:paraId="00000039">
          <w:pPr>
            <w:jc w:val="center"/>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Prof. Helder Queiroz Pinto Jr.</w:t>
          </w:r>
        </w:p>
      </w:tc>
      <w:tc>
        <w:tcPr/>
        <w:p w:rsidR="00000000" w:rsidDel="00000000" w:rsidP="00000000" w:rsidRDefault="00000000" w:rsidRPr="00000000" w14:paraId="0000003A">
          <w:pPr>
            <w:jc w:val="center"/>
            <w:rPr>
              <w:rFonts w:ascii="Bookman Old Style" w:cs="Bookman Old Style" w:eastAsia="Bookman Old Style" w:hAnsi="Bookman Old Style"/>
            </w:rPr>
          </w:pPr>
          <w:r w:rsidDel="00000000" w:rsidR="00000000" w:rsidRPr="00000000">
            <w:rPr>
              <w:rtl w:val="0"/>
            </w:rPr>
          </w:r>
          <w:r w:rsidDel="00000000" w:rsidR="00000000" w:rsidRPr="00000000">
            <w:pict>
              <v:shape id="_x0000_s1028" style="position:absolute;left:0;text-align:left;margin-left:0.9pt;margin-top:4.65pt;width:60.95pt;height:49.8pt;z-index:2;mso-position-horizontal-relative:margin;mso-position-vertical-relative:text;mso-position-horizontal:absolute;mso-position-vertical:absolute;" type="#_x0000_t75">
                <v:imagedata cropbottom="15755f" cropleft="1228f" cropright="32280f" r:id="rId2" o:title="ie"/>
                <w10:wrap type="topAndBottom"/>
              </v:shape>
            </w:pict>
          </w:r>
        </w:p>
      </w:tc>
    </w:tr>
  </w:tbl>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spacing w:after="120" w:before="360" w:lineRule="auto"/>
    </w:pPr>
    <w:rPr>
      <w:rFonts w:ascii="Open Sans" w:cs="Open Sans" w:eastAsia="Open Sans" w:hAnsi="Open Sans"/>
      <w:b w:val="1"/>
    </w:rPr>
  </w:style>
  <w:style w:type="paragraph" w:styleId="Heading3">
    <w:name w:val="heading 3"/>
    <w:basedOn w:val="Normal"/>
    <w:next w:val="Normal"/>
    <w:pPr>
      <w:ind w:left="352"/>
    </w:pPr>
    <w:rPr>
      <w:b w:val="1"/>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sz w:val="24"/>
      <w:szCs w:val="24"/>
    </w:rPr>
  </w:style>
  <w:style w:type="paragraph" w:styleId="Ttulo2">
    <w:name w:val="heading 2"/>
    <w:basedOn w:val="Normal"/>
    <w:next w:val="Normal"/>
    <w:link w:val="Ttulo2Char"/>
    <w:semiHidden w:val="1"/>
    <w:unhideWhenUsed w:val="1"/>
    <w:qFormat w:val="1"/>
    <w:rsid w:val="0068791D"/>
    <w:pPr>
      <w:spacing w:after="120" w:before="360"/>
      <w:outlineLvl w:val="1"/>
    </w:pPr>
    <w:rPr>
      <w:rFonts w:ascii="Univers (W1)" w:hAnsi="Univers (W1)"/>
      <w:b w:val="1"/>
      <w:szCs w:val="20"/>
      <w:lang w:val="en-US"/>
    </w:rPr>
  </w:style>
  <w:style w:type="paragraph" w:styleId="Ttulo3">
    <w:name w:val="heading 3"/>
    <w:basedOn w:val="Normal"/>
    <w:next w:val="Recuonormal"/>
    <w:link w:val="Ttulo3Char"/>
    <w:semiHidden w:val="1"/>
    <w:unhideWhenUsed w:val="1"/>
    <w:qFormat w:val="1"/>
    <w:rsid w:val="0068791D"/>
    <w:pPr>
      <w:ind w:left="352"/>
      <w:outlineLvl w:val="2"/>
    </w:pPr>
    <w:rPr>
      <w:b w:val="1"/>
      <w:szCs w:val="20"/>
      <w:lang w:val="en-US"/>
    </w:rPr>
  </w:style>
  <w:style w:type="paragraph" w:styleId="Ttulo4">
    <w:name w:val="heading 4"/>
    <w:basedOn w:val="Normal"/>
    <w:next w:val="Normal"/>
    <w:link w:val="Ttulo4Char"/>
    <w:uiPriority w:val="9"/>
    <w:semiHidden w:val="1"/>
    <w:unhideWhenUsed w:val="1"/>
    <w:qFormat w:val="1"/>
    <w:rsid w:val="0068791D"/>
    <w:pPr>
      <w:keepNext w:val="1"/>
      <w:spacing w:after="60" w:before="240"/>
      <w:outlineLvl w:val="3"/>
    </w:pPr>
    <w:rPr>
      <w:rFonts w:ascii="Calibri" w:hAnsi="Calibri"/>
      <w:b w:val="1"/>
      <w:bCs w:val="1"/>
      <w:sz w:val="28"/>
      <w:szCs w:val="28"/>
    </w:rPr>
  </w:style>
  <w:style w:type="character" w:styleId="Fontepargpadro" w:default="1">
    <w:name w:val="Default Paragraph Font"/>
    <w:semiHidden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Estilo2" w:customStyle="1">
    <w:name w:val="Estilo2"/>
    <w:basedOn w:val="Recuodecorpodetexto"/>
    <w:pPr>
      <w:spacing w:after="0"/>
      <w:ind w:left="2280"/>
      <w:jc w:val="both"/>
    </w:pPr>
    <w:rPr>
      <w:sz w:val="22"/>
    </w:rPr>
  </w:style>
  <w:style w:type="paragraph" w:styleId="Recuodecorpodetexto">
    <w:name w:val="Body Text Indent"/>
    <w:basedOn w:val="Normal"/>
    <w:semiHidden w:val="1"/>
    <w:pPr>
      <w:spacing w:after="120"/>
      <w:ind w:left="283"/>
    </w:pPr>
  </w:style>
  <w:style w:type="paragraph" w:styleId="Estilo3" w:customStyle="1">
    <w:name w:val="Estilo3"/>
    <w:basedOn w:val="Recuodecorpodetexto"/>
    <w:next w:val="Normal"/>
    <w:pPr>
      <w:spacing w:after="0"/>
      <w:ind w:left="2268"/>
      <w:jc w:val="both"/>
    </w:pPr>
    <w:rPr>
      <w:sz w:val="22"/>
      <w:szCs w:val="22"/>
    </w:rPr>
  </w:style>
  <w:style w:type="paragraph" w:styleId="GradeMdia1-nfase2">
    <w:name w:val="Medium Grid 1 Accent 2"/>
    <w:basedOn w:val="Normal"/>
    <w:uiPriority w:val="34"/>
    <w:qFormat w:val="1"/>
    <w:rsid w:val="00FC1D6C"/>
    <w:pPr>
      <w:spacing w:after="160" w:line="259" w:lineRule="auto"/>
      <w:ind w:left="720"/>
      <w:contextualSpacing w:val="1"/>
    </w:pPr>
    <w:rPr>
      <w:rFonts w:ascii="Cambria" w:eastAsia="Cambria" w:hAnsi="Cambria"/>
      <w:sz w:val="22"/>
      <w:szCs w:val="22"/>
      <w:lang w:eastAsia="en-US"/>
    </w:rPr>
  </w:style>
  <w:style w:type="paragraph" w:styleId="Cabealho">
    <w:name w:val="header"/>
    <w:basedOn w:val="Normal"/>
    <w:semiHidden w:val="1"/>
    <w:pPr>
      <w:tabs>
        <w:tab w:val="center" w:pos="4252"/>
        <w:tab w:val="right" w:pos="8504"/>
      </w:tabs>
    </w:pPr>
  </w:style>
  <w:style w:type="paragraph" w:styleId="Rodap">
    <w:name w:val="footer"/>
    <w:basedOn w:val="Normal"/>
    <w:semiHidden w:val="1"/>
    <w:pPr>
      <w:tabs>
        <w:tab w:val="center" w:pos="4252"/>
        <w:tab w:val="right" w:pos="8504"/>
      </w:tabs>
    </w:pPr>
  </w:style>
  <w:style w:type="paragraph" w:styleId="Textodenotaderodap">
    <w:name w:val="footnote text"/>
    <w:basedOn w:val="Normal"/>
    <w:semiHidden w:val="1"/>
    <w:rPr>
      <w:sz w:val="20"/>
      <w:szCs w:val="20"/>
    </w:rPr>
  </w:style>
  <w:style w:type="character" w:styleId="Refdenotaderodap">
    <w:name w:val="footnote reference"/>
    <w:semiHidden w:val="1"/>
    <w:rPr>
      <w:vertAlign w:val="superscript"/>
    </w:rPr>
  </w:style>
  <w:style w:type="paragraph" w:styleId="Corpodetexto">
    <w:name w:val="Body Text"/>
    <w:basedOn w:val="Normal"/>
    <w:link w:val="CorpodetextoChar"/>
    <w:uiPriority w:val="99"/>
    <w:semiHidden w:val="1"/>
    <w:unhideWhenUsed w:val="1"/>
    <w:rsid w:val="0068791D"/>
    <w:pPr>
      <w:spacing w:after="120"/>
    </w:pPr>
  </w:style>
  <w:style w:type="character" w:styleId="CorpodetextoChar" w:customStyle="1">
    <w:name w:val="Corpo de texto Char"/>
    <w:link w:val="Corpodetexto"/>
    <w:uiPriority w:val="99"/>
    <w:semiHidden w:val="1"/>
    <w:rsid w:val="0068791D"/>
    <w:rPr>
      <w:sz w:val="24"/>
      <w:szCs w:val="24"/>
    </w:rPr>
  </w:style>
  <w:style w:type="character" w:styleId="Ttulo2Char" w:customStyle="1">
    <w:name w:val="Título 2 Char"/>
    <w:link w:val="Ttulo2"/>
    <w:semiHidden w:val="1"/>
    <w:rsid w:val="0068791D"/>
    <w:rPr>
      <w:rFonts w:ascii="Univers (W1)" w:hAnsi="Univers (W1)"/>
      <w:b w:val="1"/>
      <w:sz w:val="24"/>
      <w:lang w:val="en-US"/>
    </w:rPr>
  </w:style>
  <w:style w:type="character" w:styleId="Ttulo3Char" w:customStyle="1">
    <w:name w:val="Título 3 Char"/>
    <w:link w:val="Ttulo3"/>
    <w:semiHidden w:val="1"/>
    <w:rsid w:val="0068791D"/>
    <w:rPr>
      <w:b w:val="1"/>
      <w:sz w:val="24"/>
      <w:lang w:val="en-US"/>
    </w:rPr>
  </w:style>
  <w:style w:type="paragraph" w:styleId="Recuonormal">
    <w:name w:val="Normal Indent"/>
    <w:basedOn w:val="Normal"/>
    <w:semiHidden w:val="1"/>
    <w:unhideWhenUsed w:val="1"/>
    <w:rsid w:val="0068791D"/>
    <w:pPr>
      <w:spacing w:after="120"/>
      <w:ind w:left="709"/>
    </w:pPr>
    <w:rPr>
      <w:szCs w:val="20"/>
      <w:lang w:val="en-US"/>
    </w:rPr>
  </w:style>
  <w:style w:type="character" w:styleId="Ttulo4Char" w:customStyle="1">
    <w:name w:val="Título 4 Char"/>
    <w:link w:val="Ttulo4"/>
    <w:uiPriority w:val="9"/>
    <w:semiHidden w:val="1"/>
    <w:rsid w:val="0068791D"/>
    <w:rPr>
      <w:rFonts w:ascii="Calibri" w:cs="Times New Roman" w:eastAsia="Times New Roman" w:hAnsi="Calibri"/>
      <w:b w:val="1"/>
      <w:bCs w:val="1"/>
      <w:sz w:val="28"/>
      <w:szCs w:val="28"/>
    </w:rPr>
  </w:style>
  <w:style w:type="paragraph" w:styleId="Item" w:customStyle="1">
    <w:name w:val="Item"/>
    <w:basedOn w:val="Normal"/>
    <w:rsid w:val="0068791D"/>
    <w:pPr>
      <w:spacing w:after="120"/>
      <w:ind w:left="505" w:hanging="505"/>
    </w:pPr>
    <w:rPr>
      <w:szCs w:val="20"/>
      <w:lang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IxhdKy460L3JrKupE1pd2DO7iw==">AMUW2mUF4MjJQ5YkziDVdabicysswAemzTqiQh2ZIo2JJT2JXLeG9fvrAeZSdFq5Vcw7vcG7evZSEYn2yMCi5sw/sM2Jn29HTAXlbP6ef/HsdNODevpyRAo=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2022-03-11T15:36:00Z</dcterms:created>
  <dc:creator>CCJE</dc:creator>
</cp:coreProperties>
</file>