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14:paraId="7EDA0F05" w14:textId="77777777" w:rsidTr="00EF340B">
        <w:trPr>
          <w:trHeight w:val="1289"/>
        </w:trPr>
        <w:tc>
          <w:tcPr>
            <w:tcW w:w="10314" w:type="dxa"/>
          </w:tcPr>
          <w:p w14:paraId="52AA1EEB" w14:textId="5FD32AA2" w:rsidR="00FC1D6C" w:rsidRPr="00EF510C" w:rsidRDefault="006B631E" w:rsidP="000300C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venir Book" w:hAnsi="Avenir Book"/>
                <w:bCs/>
                <w:color w:val="000000"/>
                <w:sz w:val="22"/>
                <w:szCs w:val="22"/>
              </w:rPr>
            </w:pPr>
            <w:r w:rsidRPr="00617E6C">
              <w:rPr>
                <w:rFonts w:ascii="Avenir Book" w:hAnsi="Avenir Book"/>
                <w:b/>
                <w:color w:val="000000"/>
                <w:sz w:val="22"/>
                <w:szCs w:val="22"/>
              </w:rPr>
              <w:t>Objetivo</w:t>
            </w:r>
            <w:r w:rsidR="00584975">
              <w:rPr>
                <w:rFonts w:ascii="Avenir Book" w:hAnsi="Avenir Book"/>
                <w:b/>
                <w:color w:val="000000"/>
                <w:sz w:val="22"/>
                <w:szCs w:val="22"/>
              </w:rPr>
              <w:t>:</w:t>
            </w:r>
            <w:r w:rsidR="004E2C89">
              <w:rPr>
                <w:rFonts w:ascii="Avenir Book" w:hAnsi="Avenir Book"/>
                <w:b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Avaliar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os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mecanismos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estímulo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à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inovação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associados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ao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meio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ambiente.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 </w:t>
            </w:r>
            <w:r w:rsidR="00954A27">
              <w:rPr>
                <w:rFonts w:ascii="Avenir Book" w:hAnsi="Avenir Book"/>
                <w:bCs/>
                <w:color w:val="000000"/>
                <w:sz w:val="22"/>
                <w:szCs w:val="22"/>
              </w:rPr>
              <w:t>P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olíticas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nacionais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e</w:t>
            </w:r>
            <w:r w:rsidR="00954A27">
              <w:rPr>
                <w:rFonts w:ascii="Avenir Book" w:hAnsi="Avenir Book"/>
                <w:bCs/>
                <w:color w:val="000000"/>
                <w:sz w:val="22"/>
                <w:szCs w:val="22"/>
              </w:rPr>
              <w:t>,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954A27">
              <w:rPr>
                <w:rFonts w:ascii="Avenir Book" w:hAnsi="Avenir Book"/>
                <w:bCs/>
                <w:color w:val="000000"/>
                <w:sz w:val="22"/>
                <w:szCs w:val="22"/>
              </w:rPr>
              <w:t>especificamente</w:t>
            </w:r>
            <w:r w:rsidR="004855B4">
              <w:rPr>
                <w:rFonts w:ascii="Avenir Book" w:hAnsi="Avenir Book"/>
                <w:bCs/>
                <w:color w:val="000000"/>
                <w:sz w:val="22"/>
                <w:szCs w:val="22"/>
              </w:rPr>
              <w:t>,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gestão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meio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ambiente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que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incentivem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inovação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voltada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para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criação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tecnologias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cada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vez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mais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limpas.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4855B4">
              <w:rPr>
                <w:rFonts w:ascii="Avenir Book" w:hAnsi="Avenir Book"/>
                <w:bCs/>
                <w:color w:val="000000"/>
                <w:sz w:val="22"/>
                <w:szCs w:val="22"/>
              </w:rPr>
              <w:t>Discussão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4855B4">
              <w:rPr>
                <w:rFonts w:ascii="Avenir Book" w:hAnsi="Avenir Book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4855B4">
              <w:rPr>
                <w:rFonts w:ascii="Avenir Book" w:hAnsi="Avenir Book"/>
                <w:bCs/>
                <w:color w:val="000000"/>
                <w:sz w:val="22"/>
                <w:szCs w:val="22"/>
              </w:rPr>
              <w:t>identificação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4563B9">
              <w:rPr>
                <w:rFonts w:ascii="Avenir Book" w:hAnsi="Avenir Book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instrumentos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estímulo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à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inovação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técnica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gestão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voltados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para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conservação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ambiental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utilização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racional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vocacional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dos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recursos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4563B9">
              <w:rPr>
                <w:rFonts w:ascii="Avenir Book" w:hAnsi="Avenir Book"/>
                <w:bCs/>
                <w:color w:val="000000"/>
                <w:sz w:val="22"/>
                <w:szCs w:val="22"/>
              </w:rPr>
              <w:t>ecossistêmicos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.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Discutir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novos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modelos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desenvolvimento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vocacionais,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abandonando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as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concepções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tradicionais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dominação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do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meio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EF510C" w:rsidRPr="00EF510C">
              <w:rPr>
                <w:rFonts w:ascii="Avenir Book" w:hAnsi="Avenir Book"/>
                <w:bCs/>
                <w:color w:val="000000"/>
                <w:sz w:val="22"/>
                <w:szCs w:val="22"/>
              </w:rPr>
              <w:t>ambiente</w:t>
            </w:r>
            <w:r w:rsidR="00A76E74">
              <w:rPr>
                <w:rFonts w:ascii="Avenir Book" w:hAnsi="Avenir Book"/>
                <w:bCs/>
                <w:color w:val="000000"/>
                <w:sz w:val="22"/>
                <w:szCs w:val="22"/>
              </w:rPr>
              <w:t>,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A76E74">
              <w:rPr>
                <w:rFonts w:ascii="Avenir Book" w:hAnsi="Avenir Book"/>
                <w:bCs/>
                <w:color w:val="000000"/>
                <w:sz w:val="22"/>
                <w:szCs w:val="22"/>
              </w:rPr>
              <w:t>como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A76E74">
              <w:rPr>
                <w:rFonts w:ascii="Avenir Book" w:hAnsi="Avenir Book"/>
                <w:bCs/>
                <w:color w:val="000000"/>
                <w:sz w:val="22"/>
                <w:szCs w:val="22"/>
              </w:rPr>
              <w:t>bioeconomia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5B7FE4">
              <w:rPr>
                <w:rFonts w:ascii="Avenir Book" w:hAnsi="Avenir Book"/>
                <w:bCs/>
                <w:color w:val="000000"/>
                <w:sz w:val="22"/>
                <w:szCs w:val="22"/>
              </w:rPr>
              <w:t>em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5B7FE4">
              <w:rPr>
                <w:rFonts w:ascii="Avenir Book" w:hAnsi="Avenir Book"/>
                <w:bCs/>
                <w:color w:val="000000"/>
                <w:sz w:val="22"/>
                <w:szCs w:val="22"/>
              </w:rPr>
              <w:t>um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5B7FE4">
              <w:rPr>
                <w:rFonts w:ascii="Avenir Book" w:hAnsi="Avenir Book"/>
                <w:bCs/>
                <w:color w:val="000000"/>
                <w:sz w:val="22"/>
                <w:szCs w:val="22"/>
              </w:rPr>
              <w:t>país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5B7FE4">
              <w:rPr>
                <w:rFonts w:ascii="Avenir Book" w:hAnsi="Avenir Book"/>
                <w:bCs/>
                <w:color w:val="000000"/>
                <w:sz w:val="22"/>
                <w:szCs w:val="22"/>
              </w:rPr>
              <w:t>tropical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5B7FE4">
              <w:rPr>
                <w:rFonts w:ascii="Avenir Book" w:hAnsi="Avenir Book"/>
                <w:bCs/>
                <w:color w:val="000000"/>
                <w:sz w:val="22"/>
                <w:szCs w:val="22"/>
              </w:rPr>
              <w:t>como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5B7FE4">
              <w:rPr>
                <w:rFonts w:ascii="Avenir Book" w:hAnsi="Avenir Book"/>
                <w:bCs/>
                <w:color w:val="000000"/>
                <w:sz w:val="22"/>
                <w:szCs w:val="22"/>
              </w:rPr>
              <w:t>o</w:t>
            </w:r>
            <w:r w:rsidR="004E2C89">
              <w:rPr>
                <w:rFonts w:ascii="Avenir Book" w:hAnsi="Avenir Book"/>
                <w:bCs/>
                <w:color w:val="000000"/>
                <w:sz w:val="22"/>
                <w:szCs w:val="22"/>
              </w:rPr>
              <w:t xml:space="preserve"> </w:t>
            </w:r>
            <w:r w:rsidR="005B7FE4">
              <w:rPr>
                <w:rFonts w:ascii="Avenir Book" w:hAnsi="Avenir Book"/>
                <w:bCs/>
                <w:color w:val="000000"/>
                <w:sz w:val="22"/>
                <w:szCs w:val="22"/>
              </w:rPr>
              <w:t>Brasil.</w:t>
            </w:r>
          </w:p>
          <w:p w14:paraId="6370F0FD" w14:textId="0218165B" w:rsidR="006B631E" w:rsidRPr="00584975" w:rsidRDefault="006B631E" w:rsidP="006A0CC0">
            <w:pPr>
              <w:jc w:val="both"/>
              <w:rPr>
                <w:rFonts w:ascii="Avenir Book" w:hAnsi="Avenir Book"/>
                <w:color w:val="000000"/>
                <w:sz w:val="22"/>
                <w:szCs w:val="22"/>
              </w:rPr>
            </w:pPr>
          </w:p>
        </w:tc>
      </w:tr>
    </w:tbl>
    <w:p w14:paraId="0E7F2F5A" w14:textId="77777777" w:rsidR="006B631E" w:rsidRDefault="006B631E">
      <w:pPr>
        <w:rPr>
          <w:sz w:val="16"/>
          <w:szCs w:val="16"/>
        </w:rPr>
      </w:pPr>
    </w:p>
    <w:tbl>
      <w:tblPr>
        <w:tblW w:w="10314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617E6C" w14:paraId="00298749" w14:textId="77777777" w:rsidTr="00D82AA2">
        <w:trPr>
          <w:trHeight w:val="4253"/>
        </w:trPr>
        <w:tc>
          <w:tcPr>
            <w:tcW w:w="10314" w:type="dxa"/>
          </w:tcPr>
          <w:p w14:paraId="40483EFA" w14:textId="755226A9" w:rsidR="006B631E" w:rsidRPr="00BE6945" w:rsidRDefault="006B631E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Arial"/>
                <w:b/>
                <w:color w:val="000000"/>
                <w:sz w:val="22"/>
                <w:szCs w:val="22"/>
              </w:rPr>
            </w:pPr>
            <w:r w:rsidRPr="00BE6945">
              <w:rPr>
                <w:rFonts w:ascii="Avenir Book" w:hAnsi="Avenir Book" w:cs="Arial"/>
                <w:b/>
                <w:color w:val="000000"/>
                <w:sz w:val="22"/>
                <w:szCs w:val="22"/>
              </w:rPr>
              <w:t>Programa</w:t>
            </w:r>
            <w:r w:rsidR="004E2C89">
              <w:rPr>
                <w:rFonts w:ascii="Avenir Book" w:hAnsi="Avenir Book" w:cs="Arial"/>
                <w:b/>
                <w:color w:val="000000"/>
                <w:sz w:val="22"/>
                <w:szCs w:val="22"/>
              </w:rPr>
              <w:t xml:space="preserve"> </w:t>
            </w:r>
            <w:r w:rsidR="00FC1D6C" w:rsidRPr="00BE6945">
              <w:rPr>
                <w:rFonts w:ascii="Avenir Book" w:hAnsi="Avenir Book" w:cs="Arial"/>
                <w:b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/>
                <w:color w:val="000000"/>
                <w:sz w:val="22"/>
                <w:szCs w:val="22"/>
              </w:rPr>
              <w:t xml:space="preserve"> </w:t>
            </w:r>
            <w:r w:rsidR="00FC1D6C" w:rsidRPr="00BE6945">
              <w:rPr>
                <w:rFonts w:ascii="Avenir Book" w:hAnsi="Avenir Book" w:cs="Arial"/>
                <w:b/>
                <w:color w:val="000000"/>
                <w:sz w:val="22"/>
                <w:szCs w:val="22"/>
              </w:rPr>
              <w:t>bibliografia</w:t>
            </w:r>
            <w:r w:rsidR="00BE6945" w:rsidRPr="00BE6945">
              <w:rPr>
                <w:rFonts w:ascii="Avenir Book" w:hAnsi="Avenir Book" w:cs="Arial"/>
                <w:b/>
                <w:color w:val="000000"/>
                <w:sz w:val="22"/>
                <w:szCs w:val="22"/>
              </w:rPr>
              <w:t>:</w:t>
            </w:r>
          </w:p>
          <w:p w14:paraId="7D40380C" w14:textId="7D2AC8BA" w:rsidR="00BE6945" w:rsidRPr="00BE6945" w:rsidRDefault="00BE6945" w:rsidP="0092011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instrumentos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regulatórios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meio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seus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aspectos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relacionados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estímulo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instrumento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mitigação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impacto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indução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tecnologias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cada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vez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mais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limpas.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normalização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sistêmica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meio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ferramenta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identificação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aspectos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ambientais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elemento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ordenamento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atividades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econômicas,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especialmente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industrial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serviços.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Sistemas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gestão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voltadas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para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inovações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processos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produtos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foco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ruptura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tecnologias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ou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gestão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obsoletas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ambientalmente.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Taxonomia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inovações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foco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conservação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regulação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instrumento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ruptura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paradigmas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tecnológicos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consolidados.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papel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incentivos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consolidação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novas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rotas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tecnológicas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instrumento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combate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tecnologias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maduras,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ambientalmente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inapropriadas.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conformação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conceitos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desenvolvimento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sustentável</w:t>
            </w:r>
            <w:r w:rsidR="00837003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,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desde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seu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surgimento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até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atualidade,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comando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controle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mecanismos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regulação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meio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identificando-se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apelos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à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mudanças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rotas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tecnológicas.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crença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solução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tecnológica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para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problemas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ambientais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versus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irreversibilidade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danos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exauribilidade</w:t>
            </w:r>
            <w:proofErr w:type="spellEnd"/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recursos.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limites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crescimento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econômico,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pontos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ultrapassagem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desses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limites,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irreversibilidade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processo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capacidade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suporte.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gestão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internacional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meio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necessidades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generalização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uso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tecnologias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ambientalmente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mais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limpas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disponíveis.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Criação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mecanismo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liberação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proteção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A3401A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de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paten</w:t>
            </w:r>
            <w:r w:rsidR="00A3401A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tecnologias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ambientalmente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saudáveis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disponíveis.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Criação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sistema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internacional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para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desenvolvimento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tecnologias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cada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vez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mais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limpas.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gestão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processos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tecnológica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gestão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para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aprimoramento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relação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sistema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econômico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meio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ambiente.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mecanismos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estímulo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à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difusão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destas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por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meio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instrumentos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regulação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ou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incentivo.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0929D6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nstrumentos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gestão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pública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empresarial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associada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à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tipologia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organização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dinâmica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absorção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tecnologias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cada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vez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mais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BE694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limpas.</w:t>
            </w:r>
          </w:p>
          <w:p w14:paraId="2EA4C7E6" w14:textId="6D638632" w:rsidR="00FC1D6C" w:rsidRPr="00920115" w:rsidRDefault="00F0687D" w:rsidP="00A451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Avaliação: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601FFA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</w:t>
            </w:r>
            <w:r w:rsidR="00C409F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eitura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C409F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C409F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participação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C409F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ativa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164EE8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C409F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discu</w:t>
            </w:r>
            <w:r w:rsidR="001430CF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</w:t>
            </w:r>
            <w:r w:rsidR="00C409F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</w:t>
            </w:r>
            <w:r w:rsidR="00164EE8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ões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601FFA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</w:t>
            </w:r>
            <w:r w:rsidR="00C409F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C409F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disciplina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C409F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(qualitativa)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164EE8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rabalho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final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20-30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páginas,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espaço.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1,5,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em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Calibri</w:t>
            </w:r>
            <w:proofErr w:type="spellEnd"/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11,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analisando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instrumento</w:t>
            </w:r>
            <w:r w:rsidR="00414FB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gestão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pública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empresarial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meio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sob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ótica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inovação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</w:t>
            </w:r>
            <w:r w:rsidR="00414FB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essas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informações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propor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mecanismos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ajustes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política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pública,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ou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propor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alternativa</w:t>
            </w:r>
            <w:r w:rsidR="00AF5803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</w:t>
            </w:r>
            <w:r w:rsidR="00920115" w:rsidRPr="0092011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.</w:t>
            </w:r>
            <w:r w:rsidR="004E2C89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</w:p>
          <w:p w14:paraId="783373BC" w14:textId="77777777" w:rsidR="005178FB" w:rsidRPr="00D6783E" w:rsidRDefault="005178FB" w:rsidP="005178FB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</w:p>
          <w:p w14:paraId="68EBFC90" w14:textId="2443A247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AMAZONAS,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C.,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NOBRE,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M.,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Desenvolvimento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Sustentável: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Institucionalização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Um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Conceito,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Brasília,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2002,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Editora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IBAMA.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 </w:t>
            </w:r>
          </w:p>
          <w:p w14:paraId="40451786" w14:textId="08E257EC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BURLAMAQUI,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FAGUNDES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J.,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1996,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Estado,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Estratégias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Empresariais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Indústria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Brasileira,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Discutindo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Mudanças,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Artigo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Notas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sobre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Diversidade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Regularidade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Comportamento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Agentes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Econômicos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–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Uma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Perspectiva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Neo-schumpeteriana</w:t>
            </w:r>
            <w:proofErr w:type="spell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119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166,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Janeiro,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Forense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Universitária.</w:t>
            </w:r>
          </w:p>
          <w:p w14:paraId="35A44925" w14:textId="376D5299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COMISSÃO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MUNDIAL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DESENVOLVIMENTO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Nosso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Futuro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Comum.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Janeiro: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FGV,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1987.</w:t>
            </w:r>
          </w:p>
          <w:p w14:paraId="7A96E5A2" w14:textId="25FC04D8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D´</w:t>
            </w:r>
            <w:proofErr w:type="spellStart"/>
            <w:proofErr w:type="gram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AVIGNON,A.</w:t>
            </w:r>
            <w:proofErr w:type="gram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,Energia</w:t>
            </w:r>
            <w:proofErr w:type="spell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tecnológica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mudanças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climáticas,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em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Economia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Ambiente-Teoria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Prática,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org.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Peter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May,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Elsevier,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SP,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201</w:t>
            </w:r>
            <w:r w:rsidR="006D3A8D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8</w:t>
            </w:r>
          </w:p>
          <w:p w14:paraId="50528D49" w14:textId="746F4365" w:rsidR="00B828EC" w:rsidRPr="00D6783E" w:rsidRDefault="00B828EC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DAVIGNON, Alexandre Louis de Almeida; Flávia Azevedo </w:t>
            </w:r>
            <w:proofErr w:type="spellStart"/>
            <w:proofErr w:type="gram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Carloni</w:t>
            </w:r>
            <w:proofErr w:type="spell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;</w:t>
            </w:r>
            <w:proofErr w:type="gram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ROVERE, Emilio Lèbre La ; WASSERMAN, Julio . L. Produção mais limpa - P + L - na Indústria do Petróleo. Revista Petroquímica, Petróleo, Gás &amp; Química, v. 100, p. 92-95, 2008.</w:t>
            </w:r>
          </w:p>
          <w:p w14:paraId="6B797D90" w14:textId="54DB156C" w:rsidR="005457E0" w:rsidRDefault="005457E0" w:rsidP="005457E0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D'AVIGNON, </w:t>
            </w:r>
            <w:proofErr w:type="gramStart"/>
            <w:r w:rsidR="00FD094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E45D3C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.</w:t>
            </w:r>
            <w:r w:rsidR="00EA5C25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Gestão e Governança Local para a Amazônia Sustentável</w:t>
            </w:r>
            <w:r w:rsidR="00D6783E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,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Notas Técnicas. 1. ed. RIO DE JANEIRO: ALEXANDRE LOUIS DE, 2016. v. 3. 156p</w:t>
            </w:r>
          </w:p>
          <w:p w14:paraId="621D01AF" w14:textId="1A2BD8CD" w:rsidR="00C25E63" w:rsidRPr="00D6783E" w:rsidRDefault="00C25E63" w:rsidP="005457E0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DAVIGNON, Alexandre Louis de Almeida. </w:t>
            </w:r>
            <w:r w:rsidRPr="00C25E63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Economia verde num contexto de modernização reflexiva. Economia verde para o desenvolvimento sustentável. 1ed.Brasília: CGEE, 2012, v. 1, p. 81-87</w:t>
            </w:r>
          </w:p>
          <w:p w14:paraId="4F04A26F" w14:textId="7082CBDD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FREEMAN,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SOETE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L.,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Economia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Industrial,1999,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Third</w:t>
            </w:r>
            <w:proofErr w:type="spellEnd"/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Edition</w:t>
            </w:r>
            <w:proofErr w:type="spell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.</w:t>
            </w:r>
          </w:p>
          <w:p w14:paraId="7FD862BF" w14:textId="5BFDB510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GOLDEMBERG,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José;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Villanueva,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Luz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Dondero</w:t>
            </w:r>
            <w:proofErr w:type="spell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;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Energia,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Desenvolvimento;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2ª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Edição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revisada,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Paulo;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Editora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Universidade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Paulo;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2003.</w:t>
            </w:r>
          </w:p>
          <w:p w14:paraId="2B514534" w14:textId="7F15BC5A" w:rsidR="005178FB" w:rsidRPr="005E1A41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</w:pP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HÉMERY,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DANIEL;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DEBIER,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JEAN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CLAUDE,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DELÉAGE,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JEAN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PAUL;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Une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Histoire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de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l’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Energi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proofErr w:type="gram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Flamarion,France</w:t>
            </w:r>
            <w:proofErr w:type="spellEnd"/>
            <w:proofErr w:type="gram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2013.</w:t>
            </w:r>
          </w:p>
          <w:p w14:paraId="67D8B3A1" w14:textId="0C02B444" w:rsidR="005178FB" w:rsidRPr="005E1A41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</w:pP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lastRenderedPageBreak/>
              <w:t>KEMP,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gram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R.,SMITH</w:t>
            </w:r>
            <w:proofErr w:type="gram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K.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BECHER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G.,2000,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How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should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we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study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the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relationship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between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environmental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regulation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and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innovation?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Final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report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of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project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“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Methodological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Approaches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to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Regulation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and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Innovation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Studies”for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DGIII-IPTS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research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programme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“Impact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of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EU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regulation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on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innovation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in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European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Industry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”.</w:t>
            </w:r>
          </w:p>
          <w:p w14:paraId="0AF7B6C3" w14:textId="0A820168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LOVELOCK,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JAMES;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GAIA: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um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Novo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Olhar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sobre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Vida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Terra.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Edições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70,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Lisboa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–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Portugal,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1995.</w:t>
            </w:r>
          </w:p>
          <w:p w14:paraId="5C2B1AA6" w14:textId="375223D8" w:rsidR="005178FB" w:rsidRPr="005E1A41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</w:pPr>
            <w:proofErr w:type="gram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LUNDVALL,B.</w:t>
            </w:r>
            <w:proofErr w:type="gram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all,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National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systems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of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production,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innovation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and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competence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building,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Research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Policy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31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(2002)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213–231</w:t>
            </w:r>
          </w:p>
          <w:p w14:paraId="7CAA3AE7" w14:textId="29C1021B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MCCRORNICK,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JOHN.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Rumo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Paraíso: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história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movimento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ambientalista.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Janeiro: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Janeiro,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Relume-Dumará</w:t>
            </w:r>
            <w:proofErr w:type="spell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1992.</w:t>
            </w:r>
          </w:p>
          <w:p w14:paraId="29A29FA3" w14:textId="53E0B430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MEADOWS,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al.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Limites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Crescimento,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Atualização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Anos.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Janeiro,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Editora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Qualitymark</w:t>
            </w:r>
            <w:proofErr w:type="spell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2008.</w:t>
            </w:r>
          </w:p>
          <w:p w14:paraId="5ED30375" w14:textId="615C47A7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proofErr w:type="gram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NELSON,R.</w:t>
            </w:r>
            <w:proofErr w:type="gram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WINTER,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S.,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1982,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An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Evolutionary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Theory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of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Economic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Change,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Harvard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Un.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Press.</w:t>
            </w:r>
          </w:p>
          <w:p w14:paraId="60389823" w14:textId="11E3AA34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Ostom</w:t>
            </w:r>
            <w:proofErr w:type="spell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Elinor,Governing</w:t>
            </w:r>
            <w:proofErr w:type="spellEnd"/>
            <w:proofErr w:type="gramEnd"/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Commons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–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The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Evolution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of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Institutions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for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Collective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Action,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Cambridge,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2008.</w:t>
            </w:r>
          </w:p>
          <w:p w14:paraId="66053AAB" w14:textId="6255E5CB" w:rsidR="00CA5853" w:rsidRPr="00D6783E" w:rsidRDefault="00CA5853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PALERMO, GIUSEPPE </w:t>
            </w:r>
            <w:proofErr w:type="gram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CERNICCHIARO ;</w:t>
            </w:r>
            <w:proofErr w:type="gram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D'AVIGNON, ALEXANDRE LOUIS DE ALMEIDA ; FREITAS, MARCOS AURÉLIO VASCONCELOS .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Reduction of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emissions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from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Brazilian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cattle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raising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and the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generation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of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energy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: Intensification and confinement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potentials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.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Energy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Policy</w:t>
            </w:r>
            <w:proofErr w:type="spell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, v. 68, p. 28-38, 2014.</w:t>
            </w:r>
          </w:p>
          <w:p w14:paraId="7631617C" w14:textId="0B5D05B5" w:rsidR="005178FB" w:rsidRPr="005E1A41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</w:pP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PAVITT,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K,</w:t>
            </w:r>
            <w:proofErr w:type="gram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1998,Technologies.Products</w:t>
            </w:r>
            <w:proofErr w:type="gram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&amp;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Organization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in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the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Innovation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Firm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: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What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Adam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Smith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Tells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Us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ans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Joseph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Schumpeter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Dosen’t,Bringhton</w:t>
            </w:r>
            <w:proofErr w:type="spellEnd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,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University</w:t>
            </w:r>
            <w:proofErr w:type="spellEnd"/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of</w:t>
            </w:r>
            <w:r w:rsidR="004E2C89"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5E1A41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Sussex.</w:t>
            </w:r>
          </w:p>
          <w:p w14:paraId="5F75CC07" w14:textId="1797DECE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PORTER,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LINDE,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C.,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Verde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Competitivo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em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Competição,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On</w:t>
            </w:r>
            <w:proofErr w:type="spellEnd"/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Competition</w:t>
            </w:r>
            <w:proofErr w:type="spell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: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Estarégias</w:t>
            </w:r>
            <w:proofErr w:type="spellEnd"/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Competitivas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Essenciais,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5º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Edição</w:t>
            </w:r>
            <w:proofErr w:type="gramEnd"/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Janeiro,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Campus,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1999,</w:t>
            </w:r>
          </w:p>
          <w:p w14:paraId="45211DA8" w14:textId="052A5CA1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POSSAS,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MÁRIO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L.,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1996,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Estado,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Estratégias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Empresariais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Indústria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Brasileira,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Discutindo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Mudanças,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Artigo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Competitividade: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Fatores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Sistêmicos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Política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Industrial-Implicações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para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Brasil,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71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118,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Rio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Janeiro,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Forense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Universitária.</w:t>
            </w:r>
          </w:p>
          <w:p w14:paraId="227B8C33" w14:textId="351A7C4D" w:rsidR="005178FB" w:rsidRPr="00D6783E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SCHUMPETER,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JOSEPH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A.,1997,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Teoria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Desenvolvimento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Econômico,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4ºedição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Paulo,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Os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Economistas,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Editora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Nova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Cultural.</w:t>
            </w:r>
          </w:p>
          <w:p w14:paraId="78BE5604" w14:textId="0A664306" w:rsidR="005178FB" w:rsidRPr="00837003" w:rsidRDefault="005178FB" w:rsidP="00760EFF">
            <w:pPr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</w:pP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TIDD,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JOE,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Innovation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Management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in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Context</w:t>
            </w:r>
            <w:proofErr w:type="spellEnd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: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Environment</w:t>
            </w:r>
            <w:proofErr w:type="spellEnd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,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Organizational</w:t>
            </w:r>
            <w:proofErr w:type="spellEnd"/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&amp;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Performance,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Electronic</w:t>
            </w:r>
            <w:proofErr w:type="spellEnd"/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Working</w:t>
            </w:r>
            <w:proofErr w:type="spellEnd"/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Papers,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Series</w:t>
            </w:r>
            <w:proofErr w:type="spellEnd"/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Science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and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Technology</w:t>
            </w:r>
            <w:proofErr w:type="spellEnd"/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Policy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Research</w:t>
            </w:r>
            <w:proofErr w:type="spellEnd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,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University</w:t>
            </w:r>
            <w:proofErr w:type="spellEnd"/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of</w:t>
            </w:r>
            <w:r w:rsidR="004E2C89"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 xml:space="preserve"> </w:t>
            </w:r>
            <w:r w:rsidRPr="00837003">
              <w:rPr>
                <w:rFonts w:ascii="Avenir Book" w:hAnsi="Avenir Book" w:cs="Arial"/>
                <w:bCs/>
                <w:color w:val="000000"/>
                <w:sz w:val="22"/>
                <w:szCs w:val="22"/>
                <w:lang w:val="fr-CA"/>
              </w:rPr>
              <w:t>Sussex,2000.</w:t>
            </w:r>
          </w:p>
          <w:p w14:paraId="3FA38B73" w14:textId="07A3CE5B" w:rsidR="00980435" w:rsidRPr="00584975" w:rsidRDefault="005178FB" w:rsidP="004E2C89">
            <w:pPr>
              <w:rPr>
                <w:rFonts w:ascii="Avenir Book" w:hAnsi="Avenir Book" w:cs="Arial"/>
                <w:color w:val="000000"/>
                <w:sz w:val="22"/>
                <w:szCs w:val="22"/>
              </w:rPr>
            </w:pP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Tigre,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Pinheiro,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A.,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Inovação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em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Serviços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na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Economia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do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Compartilhamento.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Editora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Saraiva,</w:t>
            </w:r>
            <w:r w:rsidR="004E2C89"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 xml:space="preserve"> </w:t>
            </w:r>
            <w:r w:rsidRPr="00D6783E">
              <w:rPr>
                <w:rFonts w:ascii="Avenir Book" w:hAnsi="Avenir Book" w:cs="Arial"/>
                <w:bCs/>
                <w:color w:val="000000"/>
                <w:sz w:val="22"/>
                <w:szCs w:val="22"/>
              </w:rPr>
              <w:t>2019</w:t>
            </w:r>
          </w:p>
        </w:tc>
      </w:tr>
    </w:tbl>
    <w:p w14:paraId="54379A17" w14:textId="77777777" w:rsidR="006B631E" w:rsidRPr="009B4624" w:rsidRDefault="006B631E" w:rsidP="006A0CC0">
      <w:pPr>
        <w:rPr>
          <w:rFonts w:ascii="Cambria" w:hAnsi="Cambria"/>
          <w:lang w:val="en-US"/>
        </w:rPr>
      </w:pPr>
    </w:p>
    <w:p w14:paraId="741F4264" w14:textId="77777777" w:rsidR="002278AE" w:rsidRPr="009B4624" w:rsidRDefault="002278AE" w:rsidP="006A0CC0">
      <w:pPr>
        <w:rPr>
          <w:rFonts w:ascii="Cambria" w:hAnsi="Cambria"/>
          <w:lang w:val="en-US"/>
        </w:rPr>
      </w:pPr>
    </w:p>
    <w:p w14:paraId="6E42DCFA" w14:textId="77777777" w:rsidR="002278AE" w:rsidRPr="00584975" w:rsidRDefault="002278AE" w:rsidP="006A0CC0">
      <w:pPr>
        <w:rPr>
          <w:rFonts w:ascii="Cambria" w:hAnsi="Cambria"/>
          <w:lang w:val="en-US"/>
        </w:rPr>
      </w:pPr>
    </w:p>
    <w:sectPr w:rsidR="002278AE" w:rsidRPr="00584975" w:rsidSect="006A0CC0">
      <w:headerReference w:type="default" r:id="rId7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BF292" w14:textId="77777777" w:rsidR="002944F8" w:rsidRDefault="002944F8">
      <w:r>
        <w:separator/>
      </w:r>
    </w:p>
  </w:endnote>
  <w:endnote w:type="continuationSeparator" w:id="0">
    <w:p w14:paraId="2B0A11F9" w14:textId="77777777" w:rsidR="002944F8" w:rsidRDefault="002944F8">
      <w:r>
        <w:continuationSeparator/>
      </w:r>
    </w:p>
  </w:endnote>
  <w:endnote w:type="continuationNotice" w:id="1">
    <w:p w14:paraId="284266F2" w14:textId="77777777" w:rsidR="00CD4FAD" w:rsidRDefault="00CD4F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A17CE" w14:textId="77777777" w:rsidR="002944F8" w:rsidRDefault="002944F8">
      <w:r>
        <w:separator/>
      </w:r>
    </w:p>
  </w:footnote>
  <w:footnote w:type="continuationSeparator" w:id="0">
    <w:p w14:paraId="5DD4F348" w14:textId="77777777" w:rsidR="002944F8" w:rsidRDefault="002944F8">
      <w:r>
        <w:continuationSeparator/>
      </w:r>
    </w:p>
  </w:footnote>
  <w:footnote w:type="continuationNotice" w:id="1">
    <w:p w14:paraId="50ACF0BC" w14:textId="77777777" w:rsidR="00CD4FAD" w:rsidRDefault="00CD4F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6050DB81" w14:textId="77777777" w:rsidTr="00084636">
      <w:trPr>
        <w:trHeight w:val="589"/>
      </w:trPr>
      <w:tc>
        <w:tcPr>
          <w:tcW w:w="1384" w:type="dxa"/>
        </w:tcPr>
        <w:p w14:paraId="45114F3A" w14:textId="0060D2E2" w:rsidR="002A1E8B" w:rsidRDefault="00601E60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8241" behindDoc="0" locked="0" layoutInCell="1" allowOverlap="1" wp14:anchorId="567F1E09" wp14:editId="5921CA75">
                <wp:simplePos x="0" y="0"/>
                <wp:positionH relativeFrom="column">
                  <wp:posOffset>23495</wp:posOffset>
                </wp:positionH>
                <wp:positionV relativeFrom="paragraph">
                  <wp:posOffset>58420</wp:posOffset>
                </wp:positionV>
                <wp:extent cx="675640" cy="765175"/>
                <wp:effectExtent l="0" t="0" r="0" b="0"/>
                <wp:wrapNone/>
                <wp:docPr id="12" name="Image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8"/>
              <w:szCs w:val="8"/>
            </w:rPr>
            <mc:AlternateContent>
              <mc:Choice Requires="wpc">
                <w:drawing>
                  <wp:inline distT="0" distB="0" distL="0" distR="0" wp14:anchorId="2FC8B875" wp14:editId="3D748AF1">
                    <wp:extent cx="659130" cy="762000"/>
                    <wp:effectExtent l="0" t="0" r="0" b="0"/>
                    <wp:docPr id="11" name="Tela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6919FF0A" id="Tela 11" o:spid="_x0000_s1026" editas="canvas" style="width:51.9pt;height:60pt;mso-position-horizontal-relative:char;mso-position-vertical-relative:line" coordsize="6591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DlRg+HcAAAABQEAAA8AAAAAAAAAAAAAAAAAYwMAAGRycy9kb3du&#10;cmV2LnhtbFBLBQYAAAAABAAEAPMAAABsB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6591;height:7620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513" w:type="dxa"/>
        </w:tcPr>
        <w:p w14:paraId="4419440E" w14:textId="77777777" w:rsidR="002A1E8B" w:rsidRPr="00601E60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601E60"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Programa de Pós-Graduação em Políticas Públicas, Estratégias e Desenvolvimento</w:t>
          </w:r>
        </w:p>
        <w:p w14:paraId="18549AB7" w14:textId="77777777" w:rsidR="002464A6" w:rsidRPr="00601E60" w:rsidRDefault="002464A6">
          <w:pP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00C018DB" w14:textId="3E149A76" w:rsidR="00A22344" w:rsidRPr="00601E60" w:rsidRDefault="002A1E8B" w:rsidP="00A2234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601E60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IEP </w:t>
          </w:r>
          <w:r w:rsidR="007A14CC" w:rsidRPr="00601E60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881</w:t>
          </w:r>
          <w:r w:rsidR="00584975" w:rsidRPr="00601E60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  <w:r w:rsidR="007A14CC" w:rsidRPr="00601E60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Gestão Ambiental e Inovação</w:t>
          </w:r>
        </w:p>
        <w:p w14:paraId="648629C7" w14:textId="2EACCC95" w:rsidR="002A1E8B" w:rsidRPr="00601E60" w:rsidRDefault="00A65DE2" w:rsidP="00A22344">
          <w:pPr>
            <w:jc w:val="center"/>
            <w:rPr>
              <w:rFonts w:ascii="Bookman Old Style" w:hAnsi="Bookman Old Style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601E60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ALEXANDRE LOUIS DE ALMEIDA D'AVIGNON</w:t>
          </w:r>
        </w:p>
      </w:tc>
      <w:tc>
        <w:tcPr>
          <w:tcW w:w="1417" w:type="dxa"/>
        </w:tcPr>
        <w:p w14:paraId="09FD952F" w14:textId="18D4BBB8" w:rsidR="002A1E8B" w:rsidRDefault="00601E60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8240" behindDoc="0" locked="0" layoutInCell="1" allowOverlap="1" wp14:anchorId="42592D88" wp14:editId="1D8F2D97">
                <wp:simplePos x="0" y="0"/>
                <wp:positionH relativeFrom="column">
                  <wp:posOffset>11430</wp:posOffset>
                </wp:positionH>
                <wp:positionV relativeFrom="paragraph">
                  <wp:posOffset>59055</wp:posOffset>
                </wp:positionV>
                <wp:extent cx="774065" cy="632460"/>
                <wp:effectExtent l="0" t="0" r="0" b="0"/>
                <wp:wrapTopAndBottom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74" r="49255" b="240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065" cy="6324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901BCE1" w14:textId="77777777" w:rsidR="006B631E" w:rsidRDefault="006B631E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FD"/>
    <w:rsid w:val="00017766"/>
    <w:rsid w:val="000300C3"/>
    <w:rsid w:val="00072031"/>
    <w:rsid w:val="00084636"/>
    <w:rsid w:val="000929D6"/>
    <w:rsid w:val="00102CFD"/>
    <w:rsid w:val="001430CF"/>
    <w:rsid w:val="00164EE8"/>
    <w:rsid w:val="0018620E"/>
    <w:rsid w:val="002278AE"/>
    <w:rsid w:val="002464A6"/>
    <w:rsid w:val="002944F8"/>
    <w:rsid w:val="002A1E8B"/>
    <w:rsid w:val="002D0BD7"/>
    <w:rsid w:val="0037424D"/>
    <w:rsid w:val="0037698F"/>
    <w:rsid w:val="003A4FD8"/>
    <w:rsid w:val="003D7CF2"/>
    <w:rsid w:val="00414FB5"/>
    <w:rsid w:val="004456FE"/>
    <w:rsid w:val="004563B9"/>
    <w:rsid w:val="004855B4"/>
    <w:rsid w:val="004E2C89"/>
    <w:rsid w:val="004E4677"/>
    <w:rsid w:val="005178FB"/>
    <w:rsid w:val="005457E0"/>
    <w:rsid w:val="00584975"/>
    <w:rsid w:val="005B7FE4"/>
    <w:rsid w:val="005C602D"/>
    <w:rsid w:val="005E1A41"/>
    <w:rsid w:val="00601E60"/>
    <w:rsid w:val="00601FFA"/>
    <w:rsid w:val="00617E6C"/>
    <w:rsid w:val="006A0CC0"/>
    <w:rsid w:val="006B631E"/>
    <w:rsid w:val="006D3A8D"/>
    <w:rsid w:val="00722CCB"/>
    <w:rsid w:val="00760EFF"/>
    <w:rsid w:val="007A14CC"/>
    <w:rsid w:val="007D6F01"/>
    <w:rsid w:val="00837003"/>
    <w:rsid w:val="008742FB"/>
    <w:rsid w:val="009121B5"/>
    <w:rsid w:val="00920115"/>
    <w:rsid w:val="00934245"/>
    <w:rsid w:val="00954A27"/>
    <w:rsid w:val="00970BFD"/>
    <w:rsid w:val="00980435"/>
    <w:rsid w:val="009852FE"/>
    <w:rsid w:val="009B4624"/>
    <w:rsid w:val="00A22344"/>
    <w:rsid w:val="00A26FAA"/>
    <w:rsid w:val="00A3401A"/>
    <w:rsid w:val="00A4517E"/>
    <w:rsid w:val="00A65DE2"/>
    <w:rsid w:val="00A76E74"/>
    <w:rsid w:val="00A933E6"/>
    <w:rsid w:val="00AF5803"/>
    <w:rsid w:val="00B0054C"/>
    <w:rsid w:val="00B828EC"/>
    <w:rsid w:val="00BB1CEA"/>
    <w:rsid w:val="00BE6945"/>
    <w:rsid w:val="00C25E63"/>
    <w:rsid w:val="00C409F5"/>
    <w:rsid w:val="00C722F1"/>
    <w:rsid w:val="00CA5853"/>
    <w:rsid w:val="00CD4FAD"/>
    <w:rsid w:val="00CF20A6"/>
    <w:rsid w:val="00D6783E"/>
    <w:rsid w:val="00D82AA2"/>
    <w:rsid w:val="00DB5787"/>
    <w:rsid w:val="00E45D3C"/>
    <w:rsid w:val="00E665B4"/>
    <w:rsid w:val="00E8642E"/>
    <w:rsid w:val="00EA5C25"/>
    <w:rsid w:val="00EF340B"/>
    <w:rsid w:val="00EF510C"/>
    <w:rsid w:val="00F0687D"/>
    <w:rsid w:val="00FC0B45"/>
    <w:rsid w:val="00FC1D6C"/>
    <w:rsid w:val="00FC73EC"/>
    <w:rsid w:val="00FD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9598AA"/>
  <w14:defaultImageDpi w14:val="300"/>
  <w15:chartTrackingRefBased/>
  <w15:docId w15:val="{3278651F-ABD0-4177-9228-F5471EE5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1074</Words>
  <Characters>5802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Alexandre DAvignon</cp:lastModifiedBy>
  <cp:revision>2</cp:revision>
  <cp:lastPrinted>2018-09-13T15:56:00Z</cp:lastPrinted>
  <dcterms:created xsi:type="dcterms:W3CDTF">2022-03-16T19:18:00Z</dcterms:created>
  <dcterms:modified xsi:type="dcterms:W3CDTF">2022-03-16T19:18:00Z</dcterms:modified>
</cp:coreProperties>
</file>