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49C66" w14:textId="5133E180" w:rsidR="00746136" w:rsidRDefault="00746136" w:rsidP="007F042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EAEDFE3" w14:textId="77777777" w:rsidR="00746136" w:rsidRPr="000A382D" w:rsidRDefault="00746136" w:rsidP="00746136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IEE</w:t>
      </w:r>
      <w:r w:rsidRPr="000A382D">
        <w:rPr>
          <w:rFonts w:asciiTheme="majorBidi" w:hAnsiTheme="majorBidi" w:cstheme="majorBidi"/>
          <w:b/>
          <w:bCs/>
          <w:sz w:val="24"/>
          <w:szCs w:val="24"/>
          <w:lang w:val="pt-BR"/>
        </w:rPr>
        <w:t>-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819</w:t>
      </w:r>
    </w:p>
    <w:p w14:paraId="221D5158" w14:textId="77777777" w:rsidR="00746136" w:rsidRDefault="00513F69" w:rsidP="00746136">
      <w:pPr>
        <w:spacing w:after="12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TÓPICOS AVANÇADOS EM POLÍTICA INTERNACIONAL</w:t>
      </w:r>
      <w:r w:rsidR="00746136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: </w:t>
      </w:r>
    </w:p>
    <w:p w14:paraId="0E790F76" w14:textId="3C73D3AE" w:rsidR="007F042D" w:rsidRDefault="007F042D" w:rsidP="00746136">
      <w:pPr>
        <w:spacing w:after="12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  <w:r w:rsidRPr="007F042D">
        <w:rPr>
          <w:rFonts w:asciiTheme="majorBidi" w:hAnsiTheme="majorBidi" w:cstheme="majorBidi"/>
          <w:b/>
          <w:bCs/>
          <w:sz w:val="24"/>
          <w:szCs w:val="24"/>
          <w:lang w:val="pt-BR"/>
        </w:rPr>
        <w:t>Uma História da Economia Mund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ial Pós-Guerra Fria</w:t>
      </w:r>
      <w:r w:rsidR="0050595E">
        <w:rPr>
          <w:rFonts w:asciiTheme="majorBidi" w:hAnsiTheme="majorBidi" w:cstheme="majorBidi"/>
          <w:b/>
          <w:bCs/>
          <w:sz w:val="24"/>
          <w:szCs w:val="24"/>
          <w:lang w:val="pt-BR"/>
        </w:rPr>
        <w:t>,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 1991 – 20</w:t>
      </w:r>
      <w:r w:rsidR="000C5436">
        <w:rPr>
          <w:rFonts w:asciiTheme="majorBidi" w:hAnsiTheme="majorBidi" w:cstheme="majorBidi"/>
          <w:b/>
          <w:bCs/>
          <w:sz w:val="24"/>
          <w:szCs w:val="24"/>
          <w:lang w:val="pt-BR"/>
        </w:rPr>
        <w:t>2</w:t>
      </w:r>
      <w:r w:rsidR="00AD595C">
        <w:rPr>
          <w:rFonts w:asciiTheme="majorBidi" w:hAnsiTheme="majorBidi" w:cstheme="majorBidi"/>
          <w:b/>
          <w:bCs/>
          <w:sz w:val="24"/>
          <w:szCs w:val="24"/>
          <w:lang w:val="pt-BR"/>
        </w:rPr>
        <w:t>4</w:t>
      </w:r>
    </w:p>
    <w:p w14:paraId="3D9F09A3" w14:textId="77777777" w:rsidR="00942780" w:rsidRPr="00550357" w:rsidRDefault="00942780" w:rsidP="00746136">
      <w:pPr>
        <w:spacing w:after="120" w:line="360" w:lineRule="auto"/>
        <w:jc w:val="center"/>
        <w:rPr>
          <w:rFonts w:asciiTheme="majorBidi" w:hAnsiTheme="majorBidi" w:cstheme="majorBidi"/>
          <w:sz w:val="24"/>
          <w:szCs w:val="24"/>
          <w:lang w:val="pt-BR"/>
        </w:rPr>
      </w:pPr>
    </w:p>
    <w:p w14:paraId="29EA8F5E" w14:textId="3CCF5055" w:rsidR="002265F3" w:rsidRPr="00C47FCC" w:rsidRDefault="002265F3" w:rsidP="002265F3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C655C">
        <w:rPr>
          <w:rFonts w:ascii="Times New Roman" w:hAnsi="Times New Roman" w:cs="Times New Roman"/>
          <w:sz w:val="24"/>
          <w:szCs w:val="24"/>
          <w:lang w:val="pt-BR"/>
        </w:rPr>
        <w:t>Período: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532F8">
        <w:rPr>
          <w:rFonts w:ascii="Times New Roman" w:hAnsi="Times New Roman" w:cs="Times New Roman"/>
          <w:b/>
          <w:sz w:val="24"/>
          <w:szCs w:val="24"/>
          <w:lang w:val="pt-BR"/>
        </w:rPr>
        <w:t>PRIMEIRO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SEMESTRE - 202</w:t>
      </w:r>
      <w:r w:rsidR="00AD595C">
        <w:rPr>
          <w:rFonts w:ascii="Times New Roman" w:hAnsi="Times New Roman" w:cs="Times New Roman"/>
          <w:b/>
          <w:sz w:val="24"/>
          <w:szCs w:val="24"/>
          <w:lang w:val="pt-BR"/>
        </w:rPr>
        <w:t>5</w:t>
      </w:r>
    </w:p>
    <w:p w14:paraId="5765DDC0" w14:textId="15396C17" w:rsidR="002265F3" w:rsidRDefault="002265F3" w:rsidP="002265F3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47FCC">
        <w:rPr>
          <w:rFonts w:ascii="Times New Roman" w:hAnsi="Times New Roman" w:cs="Times New Roman"/>
          <w:sz w:val="24"/>
          <w:szCs w:val="24"/>
          <w:lang w:val="pt-BR"/>
        </w:rPr>
        <w:t>Professores:</w:t>
      </w:r>
      <w:r w:rsidRPr="00C47FCC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C47FCC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7F042D">
        <w:rPr>
          <w:rFonts w:ascii="Times New Roman" w:hAnsi="Times New Roman" w:cs="Times New Roman"/>
          <w:b/>
          <w:sz w:val="24"/>
          <w:szCs w:val="24"/>
          <w:lang w:val="pt-BR"/>
        </w:rPr>
        <w:t>LUIZ CARLOS DELORME PRADO</w:t>
      </w:r>
    </w:p>
    <w:p w14:paraId="67E51674" w14:textId="77777777" w:rsidR="0046014D" w:rsidRDefault="0046014D" w:rsidP="0046014D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  <w:t>EDUARDO FIGUEIREDO BASTIAN</w:t>
      </w:r>
    </w:p>
    <w:p w14:paraId="7074AD15" w14:textId="459451DB" w:rsidR="00B532F8" w:rsidRDefault="00B532F8" w:rsidP="0046014D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  <w:t>NUMA MAZAT</w:t>
      </w:r>
    </w:p>
    <w:p w14:paraId="5FBFFAD7" w14:textId="5D1253D6" w:rsidR="002265F3" w:rsidRPr="00550357" w:rsidRDefault="002265F3" w:rsidP="002265F3">
      <w:pPr>
        <w:pStyle w:val="Default"/>
        <w:rPr>
          <w:lang w:val="pt-BR"/>
        </w:rPr>
      </w:pPr>
    </w:p>
    <w:p w14:paraId="6306FDB8" w14:textId="56822EFC" w:rsidR="002265F3" w:rsidRPr="002265F3" w:rsidRDefault="005F6152" w:rsidP="009F39B1">
      <w:pPr>
        <w:pStyle w:val="Default"/>
        <w:jc w:val="both"/>
        <w:rPr>
          <w:rFonts w:asciiTheme="majorBidi" w:hAnsiTheme="majorBidi" w:cstheme="majorBidi"/>
          <w:b/>
          <w:bCs/>
          <w:u w:val="single"/>
          <w:lang w:val="pt-BR"/>
        </w:rPr>
      </w:pPr>
      <w:r>
        <w:rPr>
          <w:rFonts w:asciiTheme="majorBidi" w:hAnsiTheme="majorBidi" w:cstheme="majorBidi"/>
          <w:b/>
          <w:bCs/>
          <w:u w:val="single"/>
          <w:lang w:val="pt-BR"/>
        </w:rPr>
        <w:t>Objetivo</w:t>
      </w:r>
      <w:r w:rsidR="002265F3" w:rsidRPr="002265F3">
        <w:rPr>
          <w:rFonts w:asciiTheme="majorBidi" w:hAnsiTheme="majorBidi" w:cstheme="majorBidi"/>
          <w:b/>
          <w:bCs/>
          <w:u w:val="single"/>
          <w:lang w:val="pt-BR"/>
        </w:rPr>
        <w:t>:</w:t>
      </w:r>
    </w:p>
    <w:p w14:paraId="1E40601A" w14:textId="77777777" w:rsidR="002265F3" w:rsidRPr="002265F3" w:rsidRDefault="002265F3" w:rsidP="009F39B1">
      <w:pPr>
        <w:pStyle w:val="Default"/>
        <w:jc w:val="both"/>
        <w:rPr>
          <w:rFonts w:asciiTheme="majorBidi" w:hAnsiTheme="majorBidi" w:cstheme="majorBidi"/>
          <w:u w:val="single"/>
          <w:lang w:val="pt-BR"/>
        </w:rPr>
      </w:pPr>
    </w:p>
    <w:p w14:paraId="26B37A46" w14:textId="04E39651" w:rsidR="002265F3" w:rsidRDefault="00BD4242" w:rsidP="003E03CB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>O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curso tem por objetivo apresentar uma história econômica do mundo pós-Guerra Fria, ou seja, entre 1991 – 20</w:t>
      </w:r>
      <w:r w:rsidR="001756D4">
        <w:rPr>
          <w:rFonts w:asciiTheme="majorBidi" w:hAnsiTheme="majorBidi" w:cstheme="majorBidi"/>
          <w:sz w:val="24"/>
          <w:szCs w:val="24"/>
          <w:lang w:val="pt-BR"/>
        </w:rPr>
        <w:t>2</w:t>
      </w:r>
      <w:r w:rsidR="008505EA">
        <w:rPr>
          <w:rFonts w:asciiTheme="majorBidi" w:hAnsiTheme="majorBidi" w:cstheme="majorBidi"/>
          <w:sz w:val="24"/>
          <w:szCs w:val="24"/>
          <w:lang w:val="pt-BR"/>
        </w:rPr>
        <w:t>3.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Hobsbawm considerou o século XX, como um século curto, que se estendeu da Primeira Guerra Mundial ao fim do Socialismo Real, no início da década de 1990. Nessa linha, o século XXI teria começado com o fim da União Soviética em dezembro de 1991</w:t>
      </w:r>
      <w:r w:rsidR="00D25851">
        <w:rPr>
          <w:rFonts w:asciiTheme="majorBidi" w:hAnsiTheme="majorBidi" w:cstheme="majorBidi"/>
          <w:sz w:val="24"/>
          <w:szCs w:val="24"/>
          <w:lang w:val="pt-BR"/>
        </w:rPr>
        <w:t>, completando 30 anos em 2021</w:t>
      </w:r>
      <w:r w:rsidR="00B725AE">
        <w:rPr>
          <w:rFonts w:asciiTheme="majorBidi" w:hAnsiTheme="majorBidi" w:cstheme="majorBidi"/>
          <w:sz w:val="24"/>
          <w:szCs w:val="24"/>
          <w:lang w:val="pt-BR"/>
        </w:rPr>
        <w:t>.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 Este curso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também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 adota essa cronologia histórica o que significa dizer que é um curso de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história econômica do século XXI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, que começou o fim da União Soviética, passando pela ascensão do Neoliberalismo e seus efeitos no Centro e na </w:t>
      </w:r>
      <w:r w:rsidR="00BE1814">
        <w:rPr>
          <w:rFonts w:asciiTheme="majorBidi" w:hAnsiTheme="majorBidi" w:cstheme="majorBidi"/>
          <w:sz w:val="24"/>
          <w:szCs w:val="24"/>
          <w:lang w:val="pt-BR"/>
        </w:rPr>
        <w:t>Periferia, pela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 expansão da China, pela crise financeira de 2008, até chegarmos ao tempo presente</w:t>
      </w:r>
      <w:r w:rsidR="000764D6">
        <w:rPr>
          <w:rFonts w:asciiTheme="majorBidi" w:hAnsiTheme="majorBidi" w:cstheme="majorBidi"/>
          <w:sz w:val="24"/>
          <w:szCs w:val="24"/>
          <w:lang w:val="pt-BR"/>
        </w:rPr>
        <w:t xml:space="preserve"> de crise do mundo unipolar</w:t>
      </w:r>
      <w:r w:rsidR="00BE1814">
        <w:rPr>
          <w:rFonts w:asciiTheme="majorBidi" w:hAnsiTheme="majorBidi" w:cstheme="majorBidi"/>
          <w:sz w:val="24"/>
          <w:szCs w:val="24"/>
          <w:lang w:val="pt-BR"/>
        </w:rPr>
        <w:t>. N</w:t>
      </w:r>
      <w:r w:rsidR="000764D6">
        <w:rPr>
          <w:rFonts w:asciiTheme="majorBidi" w:hAnsiTheme="majorBidi" w:cstheme="majorBidi"/>
          <w:sz w:val="24"/>
          <w:szCs w:val="24"/>
          <w:lang w:val="pt-BR"/>
        </w:rPr>
        <w:t>este contexto</w:t>
      </w:r>
      <w:r w:rsidR="00AE79F4">
        <w:rPr>
          <w:rFonts w:asciiTheme="majorBidi" w:hAnsiTheme="majorBidi" w:cstheme="majorBidi"/>
          <w:sz w:val="24"/>
          <w:szCs w:val="24"/>
          <w:lang w:val="pt-BR"/>
        </w:rPr>
        <w:t xml:space="preserve">, </w:t>
      </w:r>
      <w:r w:rsidR="00255066">
        <w:rPr>
          <w:rFonts w:asciiTheme="majorBidi" w:hAnsiTheme="majorBidi" w:cstheme="majorBidi"/>
          <w:sz w:val="24"/>
          <w:szCs w:val="24"/>
          <w:lang w:val="pt-BR"/>
        </w:rPr>
        <w:t xml:space="preserve">especula-se se a invasão da Ucrânia </w:t>
      </w:r>
      <w:r w:rsidR="00D41A46">
        <w:rPr>
          <w:rFonts w:asciiTheme="majorBidi" w:hAnsiTheme="majorBidi" w:cstheme="majorBidi"/>
          <w:sz w:val="24"/>
          <w:szCs w:val="24"/>
          <w:lang w:val="pt-BR"/>
        </w:rPr>
        <w:t xml:space="preserve">pela Rússia </w:t>
      </w:r>
      <w:r w:rsidR="004734B7">
        <w:rPr>
          <w:rFonts w:asciiTheme="majorBidi" w:hAnsiTheme="majorBidi" w:cstheme="majorBidi"/>
          <w:sz w:val="24"/>
          <w:szCs w:val="24"/>
          <w:lang w:val="pt-BR"/>
        </w:rPr>
        <w:t>em 2022</w:t>
      </w:r>
      <w:r w:rsidR="000764D6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 w:rsidR="00D41A46">
        <w:rPr>
          <w:rFonts w:asciiTheme="majorBidi" w:hAnsiTheme="majorBidi" w:cstheme="majorBidi"/>
          <w:sz w:val="24"/>
          <w:szCs w:val="24"/>
          <w:lang w:val="pt-BR"/>
        </w:rPr>
        <w:t xml:space="preserve">– com todos os seus desdobramentos econômicos e geopolíticos </w:t>
      </w:r>
      <w:r w:rsidR="0029363A">
        <w:rPr>
          <w:rFonts w:asciiTheme="majorBidi" w:hAnsiTheme="majorBidi" w:cstheme="majorBidi"/>
          <w:sz w:val="24"/>
          <w:szCs w:val="24"/>
          <w:lang w:val="pt-BR"/>
        </w:rPr>
        <w:t>–</w:t>
      </w:r>
      <w:r w:rsidR="00D41A46">
        <w:rPr>
          <w:rFonts w:asciiTheme="majorBidi" w:hAnsiTheme="majorBidi" w:cstheme="majorBidi"/>
          <w:sz w:val="24"/>
          <w:szCs w:val="24"/>
          <w:lang w:val="pt-BR"/>
        </w:rPr>
        <w:t xml:space="preserve"> seria</w:t>
      </w:r>
      <w:r w:rsidR="0029363A">
        <w:rPr>
          <w:rFonts w:asciiTheme="majorBidi" w:hAnsiTheme="majorBidi" w:cstheme="majorBidi"/>
          <w:sz w:val="24"/>
          <w:szCs w:val="24"/>
          <w:lang w:val="pt-BR"/>
        </w:rPr>
        <w:t xml:space="preserve"> o marco de uma nova era </w:t>
      </w:r>
      <w:r w:rsidR="006F15F2">
        <w:rPr>
          <w:rFonts w:asciiTheme="majorBidi" w:hAnsiTheme="majorBidi" w:cstheme="majorBidi"/>
          <w:sz w:val="24"/>
          <w:szCs w:val="24"/>
          <w:lang w:val="pt-BR"/>
        </w:rPr>
        <w:t>de bipolaridade (ou multipolaridade) no mundo</w:t>
      </w:r>
      <w:r w:rsidR="00492635">
        <w:rPr>
          <w:rFonts w:asciiTheme="majorBidi" w:hAnsiTheme="majorBidi" w:cstheme="majorBidi"/>
          <w:sz w:val="24"/>
          <w:szCs w:val="24"/>
          <w:lang w:val="pt-BR"/>
        </w:rPr>
        <w:t>.</w:t>
      </w:r>
    </w:p>
    <w:p w14:paraId="77EDA9BB" w14:textId="1DD1B5B3" w:rsidR="00B725AE" w:rsidRDefault="00B725AE" w:rsidP="00B72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pt-BR"/>
        </w:rPr>
        <w:tab/>
        <w:t xml:space="preserve">O curso é organizado de forma cronológica, mas dentro de cada período serão discutidas as principais questões que marcaram a época. </w:t>
      </w:r>
      <w:r w:rsidR="00BD6BE2">
        <w:rPr>
          <w:rFonts w:asciiTheme="majorBidi" w:hAnsiTheme="majorBidi" w:cstheme="majorBidi"/>
          <w:sz w:val="24"/>
          <w:szCs w:val="24"/>
          <w:lang w:val="pt-BR"/>
        </w:rPr>
        <w:t>Este é um programa cujo enfoque</w:t>
      </w:r>
      <w:r w:rsidR="006A60D3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 w:rsidR="00BD6BE2">
        <w:rPr>
          <w:rFonts w:asciiTheme="majorBidi" w:hAnsiTheme="majorBidi" w:cstheme="majorBidi"/>
          <w:sz w:val="24"/>
          <w:szCs w:val="24"/>
          <w:lang w:val="pt-BR"/>
        </w:rPr>
        <w:t>priorizará questões de economia política e os debates sobre política econômica em uma perspectiva histórica.</w:t>
      </w:r>
    </w:p>
    <w:p w14:paraId="4125B6D5" w14:textId="5EE3D355" w:rsidR="00BD6BE2" w:rsidRDefault="00BD6BE2" w:rsidP="00B72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652F486E" w14:textId="42D85137" w:rsidR="00BD6BE2" w:rsidRPr="00BD6BE2" w:rsidRDefault="00BD6BE2" w:rsidP="00B725AE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</w:pPr>
      <w:r w:rsidRPr="00BD6BE2"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  <w:t>Avaliação:</w:t>
      </w:r>
    </w:p>
    <w:p w14:paraId="7FB0735C" w14:textId="2B307EEA" w:rsidR="00BD6BE2" w:rsidRPr="00BD6BE2" w:rsidRDefault="00BD6BE2" w:rsidP="00B72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ab/>
        <w:t>A avaliação será feita através de um ensaio de 10 a 15 páginas sobre qualquer tema tratado no curso e, ainda, será considerada a participação ativa do aluno nos debates durante as aulas.</w:t>
      </w:r>
    </w:p>
    <w:p w14:paraId="7BACCA50" w14:textId="4243E842" w:rsidR="005C4654" w:rsidRDefault="005C4654" w:rsidP="009F39B1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42321301" w14:textId="77777777" w:rsidR="006A60D3" w:rsidRDefault="006A60D3" w:rsidP="009F39B1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505BE97D" w14:textId="77777777" w:rsidR="00B532F8" w:rsidRDefault="00B532F8" w:rsidP="009F39B1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0B125F0B" w14:textId="13C8DA58" w:rsidR="005C4654" w:rsidRPr="005C4654" w:rsidRDefault="005C4654" w:rsidP="009F39B1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</w:pPr>
      <w:r w:rsidRPr="005C4654"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  <w:lastRenderedPageBreak/>
        <w:t xml:space="preserve">Formato: </w:t>
      </w:r>
    </w:p>
    <w:p w14:paraId="4E668514" w14:textId="3CD49C50" w:rsidR="002265F3" w:rsidRDefault="005C4654" w:rsidP="009F39B1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>Em cada aula, uma parte consistirá na exposição do tema do dia por um dos professores, ficando a outra parte dedicada ao debate deste tema entre os alunos e os professores</w:t>
      </w:r>
      <w:r w:rsidR="00864036">
        <w:rPr>
          <w:rFonts w:asciiTheme="majorBidi" w:hAnsiTheme="majorBidi" w:cstheme="majorBidi"/>
          <w:sz w:val="24"/>
          <w:szCs w:val="24"/>
          <w:lang w:val="pt-BR"/>
        </w:rPr>
        <w:t xml:space="preserve"> do curso</w:t>
      </w:r>
      <w:r>
        <w:rPr>
          <w:rFonts w:asciiTheme="majorBidi" w:hAnsiTheme="majorBidi" w:cstheme="majorBidi"/>
          <w:sz w:val="24"/>
          <w:szCs w:val="24"/>
          <w:lang w:val="pt-BR"/>
        </w:rPr>
        <w:t>.</w:t>
      </w:r>
    </w:p>
    <w:p w14:paraId="21E0BF1D" w14:textId="77777777" w:rsidR="005C4654" w:rsidRPr="00550357" w:rsidRDefault="005C4654" w:rsidP="002265F3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4E0C2C34" w14:textId="191FBAAD" w:rsidR="002265F3" w:rsidRDefault="002265F3" w:rsidP="002265F3">
      <w:pPr>
        <w:spacing w:after="120" w:line="360" w:lineRule="auto"/>
        <w:jc w:val="both"/>
        <w:rPr>
          <w:rFonts w:asciiTheme="majorBidi" w:hAnsiTheme="majorBidi" w:cstheme="majorBidi"/>
          <w:b/>
          <w:sz w:val="24"/>
          <w:szCs w:val="24"/>
          <w:u w:val="single"/>
          <w:lang w:val="pt-BR"/>
        </w:rPr>
      </w:pPr>
      <w:r w:rsidRPr="002265F3">
        <w:rPr>
          <w:rFonts w:asciiTheme="majorBidi" w:hAnsiTheme="majorBidi" w:cstheme="majorBidi"/>
          <w:b/>
          <w:sz w:val="24"/>
          <w:szCs w:val="24"/>
          <w:u w:val="single"/>
          <w:lang w:val="pt-BR"/>
        </w:rPr>
        <w:t>Programa</w:t>
      </w:r>
      <w:r>
        <w:rPr>
          <w:rFonts w:asciiTheme="majorBidi" w:hAnsiTheme="majorBidi" w:cstheme="majorBidi"/>
          <w:b/>
          <w:sz w:val="24"/>
          <w:szCs w:val="24"/>
          <w:u w:val="single"/>
          <w:lang w:val="pt-BR"/>
        </w:rPr>
        <w:t>:</w:t>
      </w:r>
    </w:p>
    <w:p w14:paraId="423DA3D8" w14:textId="77777777" w:rsidR="005E60A7" w:rsidRPr="005E60A7" w:rsidRDefault="005E60A7" w:rsidP="00B725AE">
      <w:pPr>
        <w:rPr>
          <w:rFonts w:asciiTheme="majorBidi" w:hAnsiTheme="majorBidi" w:cstheme="majorBidi"/>
          <w:b/>
          <w:i/>
          <w:iCs/>
          <w:sz w:val="24"/>
          <w:szCs w:val="24"/>
          <w:lang w:val="pt-BR"/>
        </w:rPr>
      </w:pPr>
    </w:p>
    <w:p w14:paraId="7421E4C2" w14:textId="5351E9D3" w:rsidR="00672ED8" w:rsidRPr="00A95F52" w:rsidRDefault="009E5032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Visão Geral:  </w:t>
      </w:r>
      <w:r w:rsidR="00E40E82" w:rsidRPr="00A95F52">
        <w:rPr>
          <w:rFonts w:cstheme="minorHAnsi"/>
          <w:b/>
          <w:sz w:val="24"/>
          <w:szCs w:val="24"/>
          <w:lang w:val="pt-BR"/>
        </w:rPr>
        <w:t>O</w:t>
      </w:r>
      <w:r w:rsidRPr="00A95F52">
        <w:rPr>
          <w:rFonts w:cstheme="minorHAnsi"/>
          <w:b/>
          <w:sz w:val="24"/>
          <w:szCs w:val="24"/>
          <w:lang w:val="pt-BR"/>
        </w:rPr>
        <w:t xml:space="preserve"> Fim do </w:t>
      </w:r>
      <w:r w:rsidR="00D34871" w:rsidRPr="00A95F52">
        <w:rPr>
          <w:rFonts w:cstheme="minorHAnsi"/>
          <w:b/>
          <w:sz w:val="24"/>
          <w:szCs w:val="24"/>
          <w:lang w:val="pt-BR"/>
        </w:rPr>
        <w:t>Capitalismo Regulado</w:t>
      </w:r>
    </w:p>
    <w:p w14:paraId="77E448FC" w14:textId="77777777" w:rsidR="00672ED8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do capitalismo regulado no centro: o desmonte da ordem econômica keynesiana;</w:t>
      </w:r>
    </w:p>
    <w:p w14:paraId="70FD6C03" w14:textId="1BACA872" w:rsidR="00B725AE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do capitalismo regulado na periferia: o desenvolvimentismo sob ataque.</w:t>
      </w:r>
      <w:r w:rsidR="00D34871" w:rsidRPr="00A95F52">
        <w:rPr>
          <w:rFonts w:cstheme="minorHAnsi"/>
          <w:bCs/>
          <w:sz w:val="24"/>
          <w:szCs w:val="24"/>
          <w:lang w:val="pt-BR"/>
        </w:rPr>
        <w:t xml:space="preserve"> </w:t>
      </w:r>
    </w:p>
    <w:p w14:paraId="618789D2" w14:textId="77777777" w:rsidR="00963B5A" w:rsidRPr="00A95F52" w:rsidRDefault="00963B5A" w:rsidP="00A95F52">
      <w:pPr>
        <w:spacing w:after="0" w:line="240" w:lineRule="auto"/>
        <w:rPr>
          <w:rFonts w:cstheme="minorHAnsi"/>
          <w:bCs/>
          <w:sz w:val="24"/>
          <w:szCs w:val="24"/>
          <w:lang w:val="pt-BR"/>
        </w:rPr>
      </w:pPr>
    </w:p>
    <w:p w14:paraId="334B15B1" w14:textId="03D52BF1" w:rsidR="00B725AE" w:rsidRPr="00A95F52" w:rsidRDefault="00786AB0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>Teoria e Prática do Neoliberalismo</w:t>
      </w:r>
      <w:r w:rsidR="00D34871" w:rsidRPr="00A95F52">
        <w:rPr>
          <w:rFonts w:cstheme="minorHAnsi"/>
          <w:b/>
          <w:sz w:val="24"/>
          <w:szCs w:val="24"/>
          <w:lang w:val="pt-BR"/>
        </w:rPr>
        <w:t xml:space="preserve">: </w:t>
      </w:r>
      <w:r w:rsidR="00E40E82" w:rsidRPr="00A95F52">
        <w:rPr>
          <w:rFonts w:cstheme="minorHAnsi"/>
          <w:b/>
          <w:sz w:val="24"/>
          <w:szCs w:val="24"/>
          <w:lang w:val="pt-BR"/>
        </w:rPr>
        <w:t>A</w:t>
      </w:r>
      <w:r w:rsidR="00D34871" w:rsidRPr="00A95F52">
        <w:rPr>
          <w:rFonts w:cstheme="minorHAnsi"/>
          <w:b/>
          <w:sz w:val="24"/>
          <w:szCs w:val="24"/>
          <w:lang w:val="pt-BR"/>
        </w:rPr>
        <w:t xml:space="preserve"> Ascensão do Neoliberalismo</w:t>
      </w:r>
      <w:r w:rsidR="00E40E82" w:rsidRPr="00A95F52">
        <w:rPr>
          <w:rFonts w:cstheme="minorHAnsi"/>
          <w:b/>
          <w:sz w:val="24"/>
          <w:szCs w:val="24"/>
          <w:lang w:val="pt-BR"/>
        </w:rPr>
        <w:t xml:space="preserve"> no Centro e Periferia</w:t>
      </w:r>
    </w:p>
    <w:p w14:paraId="6FCC1882" w14:textId="636CB827" w:rsidR="00672ED8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movimento neoliberal: neoliberalismo ou neoliberalismos?</w:t>
      </w:r>
    </w:p>
    <w:p w14:paraId="3EA76FBA" w14:textId="4CC55182" w:rsidR="0026716F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i/>
          <w:i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neoliberalismo chega ao poder: a vitória política e a hegemonia teórica no centro</w:t>
      </w:r>
    </w:p>
    <w:p w14:paraId="2DE02F9B" w14:textId="77777777" w:rsidR="00F57F93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O neoliberalismo chega ao poder: </w:t>
      </w:r>
      <w:r w:rsidR="00F57F93" w:rsidRPr="00A95F52">
        <w:rPr>
          <w:rFonts w:cstheme="minorHAnsi"/>
          <w:bCs/>
          <w:sz w:val="24"/>
          <w:szCs w:val="24"/>
          <w:lang w:val="pt-BR"/>
        </w:rPr>
        <w:t>Consenso de Washington e teoria de desenvolvimento neoliberal na periferia.</w:t>
      </w:r>
    </w:p>
    <w:p w14:paraId="3CB47EAA" w14:textId="77777777" w:rsidR="00A95F52" w:rsidRPr="00A95F52" w:rsidRDefault="00A95F52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640EBA07" w14:textId="20EC7364" w:rsidR="00F57F93" w:rsidRPr="00A95F52" w:rsidRDefault="00B725AE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="0024658A" w:rsidRPr="00A95F52">
        <w:rPr>
          <w:rFonts w:cstheme="minorHAnsi"/>
          <w:b/>
          <w:sz w:val="24"/>
          <w:szCs w:val="24"/>
          <w:lang w:val="pt-BR"/>
        </w:rPr>
        <w:t xml:space="preserve">O </w:t>
      </w:r>
      <w:r w:rsidR="004A74F2" w:rsidRPr="00A95F52">
        <w:rPr>
          <w:rFonts w:cstheme="minorHAnsi"/>
          <w:b/>
          <w:sz w:val="24"/>
          <w:szCs w:val="24"/>
          <w:lang w:val="pt-BR"/>
        </w:rPr>
        <w:t>C</w:t>
      </w:r>
      <w:r w:rsidR="0024658A" w:rsidRPr="00A95F52">
        <w:rPr>
          <w:rFonts w:cstheme="minorHAnsi"/>
          <w:b/>
          <w:sz w:val="24"/>
          <w:szCs w:val="24"/>
          <w:lang w:val="pt-BR"/>
        </w:rPr>
        <w:t xml:space="preserve">olapso </w:t>
      </w:r>
      <w:r w:rsidR="008D2426" w:rsidRPr="00A95F52">
        <w:rPr>
          <w:rFonts w:cstheme="minorHAnsi"/>
          <w:b/>
          <w:sz w:val="24"/>
          <w:szCs w:val="24"/>
          <w:lang w:val="pt-BR"/>
        </w:rPr>
        <w:t xml:space="preserve">da URSS </w:t>
      </w:r>
      <w:r w:rsidR="004A74F2" w:rsidRPr="00A95F52">
        <w:rPr>
          <w:rFonts w:cstheme="minorHAnsi"/>
          <w:b/>
          <w:sz w:val="24"/>
          <w:szCs w:val="24"/>
          <w:lang w:val="pt-BR"/>
        </w:rPr>
        <w:t>e o Fim da Guerra Fria</w:t>
      </w:r>
    </w:p>
    <w:p w14:paraId="486E06BF" w14:textId="38C43064" w:rsidR="00F57F93" w:rsidRPr="00A95F52" w:rsidRDefault="00F57F93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de comando e o modelo soviético;</w:t>
      </w:r>
    </w:p>
    <w:p w14:paraId="53F7A9F9" w14:textId="77777777" w:rsidR="00AA6B09" w:rsidRPr="00A95F52" w:rsidRDefault="00F57F93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fim da URSS e o desmonte de sua área de influência</w:t>
      </w:r>
    </w:p>
    <w:p w14:paraId="19E29CC0" w14:textId="77777777" w:rsidR="00AA6B09" w:rsidRPr="00A95F52" w:rsidRDefault="00AA6B09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5CE6D6EF" w14:textId="25A4393C" w:rsidR="00AA6B09" w:rsidRPr="00A95F52" w:rsidRDefault="008D2426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Pr="00A95F52">
        <w:rPr>
          <w:rFonts w:cstheme="minorHAnsi"/>
          <w:b/>
          <w:sz w:val="24"/>
          <w:szCs w:val="24"/>
          <w:lang w:val="pt-BR"/>
        </w:rPr>
        <w:t>Anos 1990</w:t>
      </w:r>
      <w:r w:rsidR="00A22895" w:rsidRPr="00A95F52">
        <w:rPr>
          <w:rFonts w:cstheme="minorHAnsi"/>
          <w:b/>
          <w:sz w:val="24"/>
          <w:szCs w:val="24"/>
          <w:lang w:val="pt-BR"/>
        </w:rPr>
        <w:t>: A ‘Terceira Via’</w:t>
      </w:r>
      <w:r w:rsidRPr="00A95F52">
        <w:rPr>
          <w:rFonts w:cstheme="minorHAnsi"/>
          <w:b/>
          <w:sz w:val="24"/>
          <w:szCs w:val="24"/>
          <w:lang w:val="pt-BR"/>
        </w:rPr>
        <w:t xml:space="preserve"> no </w:t>
      </w:r>
      <w:r w:rsidR="002B023D" w:rsidRPr="00A95F52">
        <w:rPr>
          <w:rFonts w:cstheme="minorHAnsi"/>
          <w:b/>
          <w:sz w:val="24"/>
          <w:szCs w:val="24"/>
          <w:lang w:val="pt-BR"/>
        </w:rPr>
        <w:t>C</w:t>
      </w:r>
      <w:r w:rsidRPr="00A95F52">
        <w:rPr>
          <w:rFonts w:cstheme="minorHAnsi"/>
          <w:b/>
          <w:sz w:val="24"/>
          <w:szCs w:val="24"/>
          <w:lang w:val="pt-BR"/>
        </w:rPr>
        <w:t>entro</w:t>
      </w:r>
      <w:r w:rsidR="00C847A9" w:rsidRPr="00A95F52">
        <w:rPr>
          <w:rFonts w:cstheme="minorHAnsi"/>
          <w:b/>
          <w:sz w:val="24"/>
          <w:szCs w:val="24"/>
          <w:lang w:val="pt-BR"/>
        </w:rPr>
        <w:t xml:space="preserve"> e as Crises Financeiras na Periferia</w:t>
      </w:r>
    </w:p>
    <w:p w14:paraId="52375986" w14:textId="4E4C5B40" w:rsidR="00AA6B09" w:rsidRPr="00A95F52" w:rsidRDefault="00AA6B09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Style w:val="nfase"/>
          <w:rFonts w:cstheme="minorHAnsi"/>
          <w:bCs/>
          <w:i w:val="0"/>
          <w:iCs w:val="0"/>
          <w:sz w:val="21"/>
          <w:szCs w:val="21"/>
          <w:shd w:val="clear" w:color="auto" w:fill="FFFFFF"/>
          <w:lang w:val="pt-BR"/>
        </w:rPr>
        <w:t>Anthony Giddens e a Teoria da Terceira Via;</w:t>
      </w:r>
    </w:p>
    <w:p w14:paraId="7EE80A37" w14:textId="17D109C8" w:rsidR="00AA6B09" w:rsidRPr="00A95F52" w:rsidRDefault="00AA6B09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novo rosto do neoliberalismo: a ascensão de Tony Blair e o governo do Bill Clinton;</w:t>
      </w:r>
    </w:p>
    <w:p w14:paraId="79ED297C" w14:textId="77777777" w:rsidR="00AA6B09" w:rsidRPr="00A95F52" w:rsidRDefault="00AA6B09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Neoliberalismo na periferia: do Consenso de Washington às Crises Financeiras.</w:t>
      </w:r>
    </w:p>
    <w:p w14:paraId="025FA5FA" w14:textId="77777777" w:rsidR="00AA6B09" w:rsidRPr="00A95F52" w:rsidRDefault="00AA6B09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2A186CD" w14:textId="2A6F1574" w:rsidR="008D2426" w:rsidRPr="00A95F52" w:rsidRDefault="008D2426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 </w:t>
      </w:r>
      <w:r w:rsidR="00862CD1" w:rsidRPr="00A95F52">
        <w:rPr>
          <w:rFonts w:cstheme="minorHAnsi"/>
          <w:b/>
          <w:sz w:val="24"/>
          <w:szCs w:val="24"/>
          <w:lang w:val="pt-BR"/>
        </w:rPr>
        <w:t>Anos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 2000: </w:t>
      </w:r>
      <w:r w:rsidR="00862CD1" w:rsidRPr="00A95F52">
        <w:rPr>
          <w:rFonts w:cstheme="minorHAnsi"/>
          <w:b/>
          <w:sz w:val="24"/>
          <w:szCs w:val="24"/>
          <w:lang w:val="pt-BR"/>
        </w:rPr>
        <w:t>Crescimento e Crise no Centro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 </w:t>
      </w:r>
      <w:r w:rsidR="00DA44A2" w:rsidRPr="00A95F52">
        <w:rPr>
          <w:rFonts w:cstheme="minorHAnsi"/>
          <w:b/>
          <w:sz w:val="24"/>
          <w:szCs w:val="24"/>
          <w:lang w:val="pt-BR"/>
        </w:rPr>
        <w:t xml:space="preserve"> </w:t>
      </w:r>
    </w:p>
    <w:p w14:paraId="2ED5CC30" w14:textId="32EB1CBB" w:rsidR="00AA6B09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norte-americana pós setembro de 2001;</w:t>
      </w:r>
    </w:p>
    <w:p w14:paraId="7A9F30E7" w14:textId="480EE67D" w:rsidR="00263988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ascensão do Euro e a expansão da União Europeia;</w:t>
      </w:r>
    </w:p>
    <w:p w14:paraId="6D1677BF" w14:textId="109DE8FF" w:rsidR="00263988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A crise de 2008: </w:t>
      </w:r>
      <w:r w:rsidR="00C869DA" w:rsidRPr="00A95F52">
        <w:rPr>
          <w:rFonts w:cstheme="minorHAnsi"/>
          <w:bCs/>
          <w:sz w:val="24"/>
          <w:szCs w:val="24"/>
          <w:lang w:val="pt-BR"/>
        </w:rPr>
        <w:t xml:space="preserve"> A </w:t>
      </w:r>
      <w:r w:rsidRPr="00A95F52">
        <w:rPr>
          <w:rFonts w:cstheme="minorHAnsi"/>
          <w:bCs/>
          <w:sz w:val="24"/>
          <w:szCs w:val="24"/>
          <w:lang w:val="pt-BR"/>
        </w:rPr>
        <w:t>Grande Recessão</w:t>
      </w:r>
    </w:p>
    <w:p w14:paraId="1A89FBA8" w14:textId="77777777" w:rsidR="00A95F52" w:rsidRPr="00A95F52" w:rsidRDefault="00A95F52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EFD78D8" w14:textId="7253AE56" w:rsidR="00757B20" w:rsidRPr="00A95F52" w:rsidRDefault="00C52131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="00757B20" w:rsidRPr="00A95F52">
        <w:rPr>
          <w:rFonts w:cstheme="minorHAnsi"/>
          <w:b/>
          <w:sz w:val="24"/>
          <w:szCs w:val="24"/>
          <w:lang w:val="pt-BR"/>
        </w:rPr>
        <w:t xml:space="preserve">A </w:t>
      </w:r>
      <w:r w:rsidR="003D406E" w:rsidRPr="00A95F52">
        <w:rPr>
          <w:rFonts w:cstheme="minorHAnsi"/>
          <w:b/>
          <w:sz w:val="24"/>
          <w:szCs w:val="24"/>
          <w:lang w:val="pt-BR"/>
        </w:rPr>
        <w:t>A</w:t>
      </w:r>
      <w:r w:rsidR="00757B20" w:rsidRPr="00A95F52">
        <w:rPr>
          <w:rFonts w:cstheme="minorHAnsi"/>
          <w:b/>
          <w:sz w:val="24"/>
          <w:szCs w:val="24"/>
          <w:lang w:val="pt-BR"/>
        </w:rPr>
        <w:t>scensão da China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 e </w:t>
      </w:r>
      <w:r w:rsidR="003D406E" w:rsidRPr="00A95F52">
        <w:rPr>
          <w:rFonts w:cstheme="minorHAnsi"/>
          <w:b/>
          <w:sz w:val="24"/>
          <w:szCs w:val="24"/>
          <w:lang w:val="pt-BR"/>
        </w:rPr>
        <w:t>seu I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mpacto </w:t>
      </w:r>
      <w:r w:rsidR="00A20933" w:rsidRPr="00A95F52">
        <w:rPr>
          <w:rFonts w:cstheme="minorHAnsi"/>
          <w:b/>
          <w:sz w:val="24"/>
          <w:szCs w:val="24"/>
          <w:lang w:val="pt-BR"/>
        </w:rPr>
        <w:t>n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a </w:t>
      </w:r>
      <w:r w:rsidR="00A20933" w:rsidRPr="00A95F52">
        <w:rPr>
          <w:rFonts w:cstheme="minorHAnsi"/>
          <w:b/>
          <w:sz w:val="24"/>
          <w:szCs w:val="24"/>
          <w:lang w:val="pt-BR"/>
        </w:rPr>
        <w:t>E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conomia </w:t>
      </w:r>
      <w:r w:rsidR="00A20933" w:rsidRPr="00A95F52">
        <w:rPr>
          <w:rFonts w:cstheme="minorHAnsi"/>
          <w:b/>
          <w:sz w:val="24"/>
          <w:szCs w:val="24"/>
          <w:lang w:val="pt-BR"/>
        </w:rPr>
        <w:t>M</w:t>
      </w:r>
      <w:r w:rsidR="00AD08DC" w:rsidRPr="00A95F52">
        <w:rPr>
          <w:rFonts w:cstheme="minorHAnsi"/>
          <w:b/>
          <w:sz w:val="24"/>
          <w:szCs w:val="24"/>
          <w:lang w:val="pt-BR"/>
        </w:rPr>
        <w:t>undial</w:t>
      </w:r>
      <w:r w:rsidR="001311C9" w:rsidRPr="00A95F52">
        <w:rPr>
          <w:rFonts w:cstheme="minorHAnsi"/>
          <w:b/>
          <w:sz w:val="24"/>
          <w:szCs w:val="24"/>
          <w:lang w:val="pt-BR"/>
        </w:rPr>
        <w:t xml:space="preserve"> </w:t>
      </w:r>
    </w:p>
    <w:p w14:paraId="284FBCF0" w14:textId="1E43180B" w:rsidR="00263988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China e a economia asiática;</w:t>
      </w:r>
    </w:p>
    <w:p w14:paraId="5A03BD3D" w14:textId="5A58A31E" w:rsidR="00263988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A demanda chinesa e o pós-liberalismo na América Latina; </w:t>
      </w:r>
    </w:p>
    <w:p w14:paraId="31DA9B00" w14:textId="77777777" w:rsidR="00C869DA" w:rsidRPr="00A95F52" w:rsidRDefault="00C869DA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5A8944FD" w14:textId="122BD3E4" w:rsidR="009E7624" w:rsidRPr="00A95F52" w:rsidRDefault="009E7624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 As Economias Centrais entre 2010-2019: </w:t>
      </w:r>
      <w:r w:rsidR="0022571C" w:rsidRPr="00A95F52">
        <w:rPr>
          <w:rFonts w:cstheme="minorHAnsi"/>
          <w:b/>
          <w:sz w:val="24"/>
          <w:szCs w:val="24"/>
          <w:lang w:val="pt-BR"/>
        </w:rPr>
        <w:t>nova rodada de crises</w:t>
      </w:r>
      <w:r w:rsidR="00263988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434D372E" w14:textId="137A336F" w:rsidR="00C869DA" w:rsidRPr="00A95F52" w:rsidRDefault="00C869DA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da Globalização: distribuição de renda, concorrência chinesa e instabilidade política;</w:t>
      </w:r>
    </w:p>
    <w:p w14:paraId="51CEB2A9" w14:textId="136298FC" w:rsidR="00390F66" w:rsidRPr="00A95F52" w:rsidRDefault="00C869DA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lastRenderedPageBreak/>
        <w:t>A União Europeia em crise: da expansão</w:t>
      </w:r>
      <w:r w:rsidR="00390F66" w:rsidRPr="00A95F52">
        <w:rPr>
          <w:rFonts w:cstheme="minorHAnsi"/>
          <w:bCs/>
          <w:sz w:val="24"/>
          <w:szCs w:val="24"/>
          <w:lang w:val="pt-BR"/>
        </w:rPr>
        <w:t xml:space="preserve"> para o Leste</w:t>
      </w:r>
      <w:r w:rsidRPr="00A95F52">
        <w:rPr>
          <w:rFonts w:cstheme="minorHAnsi"/>
          <w:bCs/>
          <w:sz w:val="24"/>
          <w:szCs w:val="24"/>
          <w:lang w:val="pt-BR"/>
        </w:rPr>
        <w:t xml:space="preserve"> ao Brexit</w:t>
      </w:r>
      <w:r w:rsidR="00390F66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62F81C8D" w14:textId="77777777" w:rsidR="00390F66" w:rsidRPr="00A95F52" w:rsidRDefault="00390F66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328BB621" w14:textId="636C3705" w:rsidR="006369FE" w:rsidRPr="00A95F52" w:rsidRDefault="006369FE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Pr="00A95F52">
        <w:rPr>
          <w:rFonts w:cstheme="minorHAnsi"/>
          <w:b/>
          <w:sz w:val="24"/>
          <w:szCs w:val="24"/>
          <w:lang w:val="pt-BR"/>
        </w:rPr>
        <w:t xml:space="preserve">As Economias </w:t>
      </w:r>
      <w:r w:rsidR="00517EA5" w:rsidRPr="00A95F52">
        <w:rPr>
          <w:rFonts w:cstheme="minorHAnsi"/>
          <w:b/>
          <w:sz w:val="24"/>
          <w:szCs w:val="24"/>
          <w:lang w:val="pt-BR"/>
        </w:rPr>
        <w:t>Periféricas</w:t>
      </w:r>
      <w:r w:rsidRPr="00A95F52">
        <w:rPr>
          <w:rFonts w:cstheme="minorHAnsi"/>
          <w:b/>
          <w:sz w:val="24"/>
          <w:szCs w:val="24"/>
          <w:lang w:val="pt-BR"/>
        </w:rPr>
        <w:t xml:space="preserve"> entre 2010-2019: </w:t>
      </w:r>
      <w:r w:rsidR="00517EA5" w:rsidRPr="00A95F52">
        <w:rPr>
          <w:rFonts w:cstheme="minorHAnsi"/>
          <w:b/>
          <w:sz w:val="24"/>
          <w:szCs w:val="24"/>
          <w:lang w:val="pt-BR"/>
        </w:rPr>
        <w:t>a</w:t>
      </w:r>
      <w:r w:rsidRPr="00A95F52">
        <w:rPr>
          <w:rFonts w:cstheme="minorHAnsi"/>
          <w:b/>
          <w:sz w:val="24"/>
          <w:szCs w:val="24"/>
          <w:lang w:val="pt-BR"/>
        </w:rPr>
        <w:t xml:space="preserve"> crise</w:t>
      </w:r>
      <w:r w:rsidR="00517EA5" w:rsidRPr="00A95F52">
        <w:rPr>
          <w:rFonts w:cstheme="minorHAnsi"/>
          <w:b/>
          <w:sz w:val="24"/>
          <w:szCs w:val="24"/>
          <w:lang w:val="pt-BR"/>
        </w:rPr>
        <w:t xml:space="preserve"> do pós-neoliberalismo</w:t>
      </w:r>
      <w:r w:rsidR="00390F66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741C2325" w14:textId="6E1F9C0B" w:rsidR="00390F66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Grande Recessão chega à Periferia;</w:t>
      </w:r>
    </w:p>
    <w:p w14:paraId="1BA4D771" w14:textId="77777777" w:rsidR="00390F66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da democracia (e das ditaduras): Golpes parlamentares, revoluções coloridas e Primavera Árabe.</w:t>
      </w:r>
    </w:p>
    <w:p w14:paraId="3B5D98BB" w14:textId="77777777" w:rsidR="00390F66" w:rsidRPr="00A95F52" w:rsidRDefault="00390F66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63ECB150" w14:textId="7D70A56D" w:rsidR="00127C94" w:rsidRPr="00A95F52" w:rsidRDefault="00127C94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 A Economia Mundial durante a Pandemia</w:t>
      </w:r>
      <w:r w:rsidR="00390F66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27B7F9C4" w14:textId="7479FC1F" w:rsidR="00390F66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Dimensões econômicas das Pandemias: Cadeias </w:t>
      </w:r>
      <w:r w:rsidR="00446061" w:rsidRPr="00A95F52">
        <w:rPr>
          <w:rFonts w:cstheme="minorHAnsi"/>
          <w:bCs/>
          <w:sz w:val="24"/>
          <w:szCs w:val="24"/>
          <w:lang w:val="pt-BR"/>
        </w:rPr>
        <w:t>produtivas globais</w:t>
      </w:r>
      <w:r w:rsidRPr="00A95F52">
        <w:rPr>
          <w:rFonts w:cstheme="minorHAnsi"/>
          <w:bCs/>
          <w:sz w:val="24"/>
          <w:szCs w:val="24"/>
          <w:lang w:val="pt-BR"/>
        </w:rPr>
        <w:t xml:space="preserve">, </w:t>
      </w:r>
      <w:r w:rsidR="00446061" w:rsidRPr="00A95F52">
        <w:rPr>
          <w:rFonts w:cstheme="minorHAnsi"/>
          <w:bCs/>
          <w:sz w:val="24"/>
          <w:szCs w:val="24"/>
          <w:lang w:val="pt-BR"/>
        </w:rPr>
        <w:t>produtos/equipamentos médicos</w:t>
      </w:r>
      <w:r w:rsidRPr="00A95F52">
        <w:rPr>
          <w:rFonts w:cstheme="minorHAnsi"/>
          <w:bCs/>
          <w:sz w:val="24"/>
          <w:szCs w:val="24"/>
          <w:lang w:val="pt-BR"/>
        </w:rPr>
        <w:t xml:space="preserve"> e vacinas;</w:t>
      </w:r>
    </w:p>
    <w:p w14:paraId="2D7DA5D7" w14:textId="77777777" w:rsidR="00446061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Respostas</w:t>
      </w:r>
      <w:r w:rsidR="00446061" w:rsidRPr="00A95F52">
        <w:rPr>
          <w:rFonts w:cstheme="minorHAnsi"/>
          <w:bCs/>
          <w:sz w:val="24"/>
          <w:szCs w:val="24"/>
          <w:lang w:val="pt-BR"/>
        </w:rPr>
        <w:t xml:space="preserve"> nacionais no centro e na periferia;</w:t>
      </w:r>
    </w:p>
    <w:p w14:paraId="14E8D637" w14:textId="77777777" w:rsidR="00446061" w:rsidRPr="00A95F52" w:rsidRDefault="00446061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5F2517D6" w14:textId="21D0E1B8" w:rsidR="00060E8F" w:rsidRPr="00A95F52" w:rsidRDefault="001500BE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="00060E8F" w:rsidRPr="00A95F52">
        <w:rPr>
          <w:rFonts w:cstheme="minorHAnsi"/>
          <w:b/>
          <w:sz w:val="24"/>
          <w:szCs w:val="24"/>
          <w:lang w:val="pt-BR"/>
        </w:rPr>
        <w:t xml:space="preserve">A </w:t>
      </w:r>
      <w:r w:rsidR="00B5707E" w:rsidRPr="00A95F52">
        <w:rPr>
          <w:rFonts w:cstheme="minorHAnsi"/>
          <w:b/>
          <w:sz w:val="24"/>
          <w:szCs w:val="24"/>
          <w:lang w:val="pt-BR"/>
        </w:rPr>
        <w:t>A</w:t>
      </w:r>
      <w:r w:rsidR="00060E8F" w:rsidRPr="00A95F52">
        <w:rPr>
          <w:rFonts w:cstheme="minorHAnsi"/>
          <w:b/>
          <w:sz w:val="24"/>
          <w:szCs w:val="24"/>
          <w:lang w:val="pt-BR"/>
        </w:rPr>
        <w:t>scensão da “</w:t>
      </w:r>
      <w:r w:rsidR="00B5707E" w:rsidRPr="00A95F52">
        <w:rPr>
          <w:rFonts w:cstheme="minorHAnsi"/>
          <w:b/>
          <w:sz w:val="24"/>
          <w:szCs w:val="24"/>
          <w:lang w:val="pt-BR"/>
        </w:rPr>
        <w:t>Alt-</w:t>
      </w:r>
      <w:r w:rsidR="00060E8F" w:rsidRPr="00A95F52">
        <w:rPr>
          <w:rFonts w:cstheme="minorHAnsi"/>
          <w:b/>
          <w:sz w:val="24"/>
          <w:szCs w:val="24"/>
          <w:lang w:val="pt-BR"/>
        </w:rPr>
        <w:t>Right”</w:t>
      </w:r>
      <w:r w:rsidR="00B5707E" w:rsidRPr="00A95F52">
        <w:rPr>
          <w:rFonts w:cstheme="minorHAnsi"/>
          <w:b/>
          <w:sz w:val="24"/>
          <w:szCs w:val="24"/>
          <w:lang w:val="pt-BR"/>
        </w:rPr>
        <w:t>: Teoria e Prática</w:t>
      </w:r>
    </w:p>
    <w:p w14:paraId="245A391B" w14:textId="77777777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que é alt-right: há uma teoria ou uma agenda econômica da extrema direita?</w:t>
      </w:r>
    </w:p>
    <w:p w14:paraId="124C1CD9" w14:textId="63ECFA50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alt-right no poder</w:t>
      </w:r>
    </w:p>
    <w:p w14:paraId="58D7B6B6" w14:textId="77777777" w:rsidR="00446061" w:rsidRPr="00A95F52" w:rsidRDefault="00446061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7362C02" w14:textId="3931DC27" w:rsidR="00217335" w:rsidRPr="00A95F52" w:rsidRDefault="00217335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A Crise do Mundo Unipolar: </w:t>
      </w:r>
      <w:r w:rsidR="00B65943" w:rsidRPr="00A95F52">
        <w:rPr>
          <w:rFonts w:cstheme="minorHAnsi"/>
          <w:b/>
          <w:sz w:val="24"/>
          <w:szCs w:val="24"/>
          <w:lang w:val="pt-BR"/>
        </w:rPr>
        <w:t>economia de guerra e sanções econômicas</w:t>
      </w:r>
    </w:p>
    <w:p w14:paraId="110C78F7" w14:textId="34A49DE4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das guerras eternas (Forever wars);</w:t>
      </w:r>
    </w:p>
    <w:p w14:paraId="6E6E8BDC" w14:textId="77777777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As sanções econômicas</w:t>
      </w:r>
    </w:p>
    <w:p w14:paraId="331D20FA" w14:textId="77777777" w:rsidR="00446061" w:rsidRPr="00A95F52" w:rsidRDefault="00446061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0D9A1615" w14:textId="1007AB91" w:rsidR="00B333EB" w:rsidRPr="00A95F52" w:rsidRDefault="00B333EB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>A Crise do Mundo Unipolar: a questão financeira e a hegemonia do dólar</w:t>
      </w:r>
      <w:r w:rsidR="00446061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7355FCE5" w14:textId="5F88C9ED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mundo unipolar e a extra-territoriedade das leis norte-americanas: do fim da história a grande recessão;</w:t>
      </w:r>
    </w:p>
    <w:p w14:paraId="366EB13E" w14:textId="388FFBA0" w:rsidR="00A95F52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Os limites da hegemonia: as crises das organizações de Bretton Woods e </w:t>
      </w:r>
      <w:r w:rsidR="00894AA1" w:rsidRPr="00A95F52">
        <w:rPr>
          <w:rFonts w:cstheme="minorHAnsi"/>
          <w:bCs/>
          <w:sz w:val="24"/>
          <w:szCs w:val="24"/>
          <w:lang w:val="pt-BR"/>
        </w:rPr>
        <w:t>o sistema</w:t>
      </w:r>
      <w:r w:rsidRPr="00A95F52">
        <w:rPr>
          <w:rFonts w:cstheme="minorHAnsi"/>
          <w:bCs/>
          <w:sz w:val="24"/>
          <w:szCs w:val="24"/>
          <w:lang w:val="pt-BR"/>
        </w:rPr>
        <w:t xml:space="preserve"> Swift de</w:t>
      </w:r>
      <w:r w:rsidR="00A95F52" w:rsidRPr="00A95F52">
        <w:rPr>
          <w:rFonts w:cstheme="minorHAnsi"/>
          <w:bCs/>
          <w:sz w:val="24"/>
          <w:szCs w:val="24"/>
          <w:lang w:val="pt-BR"/>
        </w:rPr>
        <w:t xml:space="preserve"> pagamentos;</w:t>
      </w:r>
    </w:p>
    <w:p w14:paraId="05BF355A" w14:textId="77777777" w:rsidR="00A95F52" w:rsidRPr="00A95F52" w:rsidRDefault="00A95F52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ADB5E14" w14:textId="693AEB2C" w:rsidR="00B65943" w:rsidRPr="00A95F52" w:rsidRDefault="00B65943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>A Emergência</w:t>
      </w:r>
      <w:r w:rsidR="00011FBF" w:rsidRPr="00A95F52">
        <w:rPr>
          <w:rFonts w:cstheme="minorHAnsi"/>
          <w:b/>
          <w:sz w:val="24"/>
          <w:szCs w:val="24"/>
          <w:lang w:val="pt-BR"/>
        </w:rPr>
        <w:t xml:space="preserve"> Ambiental e a Transição Energética</w:t>
      </w:r>
    </w:p>
    <w:p w14:paraId="10A7A343" w14:textId="34793020" w:rsidR="00A95F52" w:rsidRPr="00A95F52" w:rsidRDefault="00A95F52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política da emergência ambiental;</w:t>
      </w:r>
    </w:p>
    <w:p w14:paraId="097CD4D7" w14:textId="47B69738" w:rsidR="00A95F52" w:rsidRPr="00A95F52" w:rsidRDefault="00A95F52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Geopolítica da Energia e a Transição Energética;</w:t>
      </w:r>
    </w:p>
    <w:p w14:paraId="142F35D6" w14:textId="77777777" w:rsidR="00A3708C" w:rsidRPr="00A95F52" w:rsidRDefault="00A3708C" w:rsidP="00A95F52">
      <w:pPr>
        <w:spacing w:after="0" w:line="240" w:lineRule="auto"/>
        <w:jc w:val="both"/>
        <w:rPr>
          <w:rFonts w:cstheme="minorHAnsi"/>
          <w:bCs/>
          <w:sz w:val="24"/>
          <w:szCs w:val="24"/>
          <w:lang w:val="pt-BR"/>
        </w:rPr>
      </w:pPr>
    </w:p>
    <w:p w14:paraId="2A0CF3B1" w14:textId="331DAAD3" w:rsidR="001500BE" w:rsidRPr="00A95F52" w:rsidRDefault="00866EEF" w:rsidP="00A95F52">
      <w:pPr>
        <w:spacing w:after="0" w:line="240" w:lineRule="auto"/>
        <w:jc w:val="both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XIV</w:t>
      </w:r>
      <w:r w:rsidR="001500BE" w:rsidRPr="00A95F52">
        <w:rPr>
          <w:rFonts w:cstheme="minorHAnsi"/>
          <w:bCs/>
          <w:sz w:val="24"/>
          <w:szCs w:val="24"/>
          <w:lang w:val="pt-BR"/>
        </w:rPr>
        <w:t xml:space="preserve"> – </w:t>
      </w:r>
      <w:r w:rsidR="001500BE" w:rsidRPr="00A95F52">
        <w:rPr>
          <w:rFonts w:cstheme="minorHAnsi"/>
          <w:b/>
          <w:sz w:val="24"/>
          <w:szCs w:val="24"/>
          <w:lang w:val="pt-BR"/>
        </w:rPr>
        <w:t>O Futuro do Capitalismo</w:t>
      </w:r>
      <w:r w:rsidR="001555FA" w:rsidRPr="00A95F52">
        <w:rPr>
          <w:rFonts w:cstheme="minorHAnsi"/>
          <w:b/>
          <w:sz w:val="24"/>
          <w:szCs w:val="24"/>
          <w:lang w:val="pt-BR"/>
        </w:rPr>
        <w:t xml:space="preserve"> no </w:t>
      </w:r>
      <w:r w:rsidRPr="00A95F52">
        <w:rPr>
          <w:rFonts w:cstheme="minorHAnsi"/>
          <w:b/>
          <w:sz w:val="24"/>
          <w:szCs w:val="24"/>
          <w:lang w:val="pt-BR"/>
        </w:rPr>
        <w:t>Século XXI</w:t>
      </w:r>
      <w:r w:rsidR="001500BE" w:rsidRPr="00A95F52">
        <w:rPr>
          <w:rFonts w:cstheme="minorHAnsi"/>
          <w:bCs/>
          <w:sz w:val="24"/>
          <w:szCs w:val="24"/>
          <w:lang w:val="pt-BR"/>
        </w:rPr>
        <w:t xml:space="preserve">  </w:t>
      </w:r>
    </w:p>
    <w:p w14:paraId="083970FC" w14:textId="77777777" w:rsidR="00166F47" w:rsidRDefault="00166F47" w:rsidP="002D1E38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</w:p>
    <w:p w14:paraId="5BB1485B" w14:textId="1A7AC5F0" w:rsidR="002265F3" w:rsidRPr="00933DE9" w:rsidRDefault="002265F3" w:rsidP="00105CFA">
      <w:pPr>
        <w:spacing w:after="12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33DE9">
        <w:rPr>
          <w:rFonts w:asciiTheme="majorBidi" w:hAnsiTheme="majorBidi" w:cstheme="majorBidi"/>
          <w:b/>
          <w:bCs/>
          <w:sz w:val="24"/>
          <w:szCs w:val="24"/>
        </w:rPr>
        <w:t>Referências Bibliográficas</w:t>
      </w:r>
      <w:r w:rsidR="000C5436">
        <w:rPr>
          <w:rStyle w:val="Refdenotaderodap"/>
          <w:rFonts w:asciiTheme="majorBidi" w:hAnsiTheme="majorBidi" w:cstheme="majorBidi"/>
          <w:b/>
          <w:bCs/>
          <w:sz w:val="24"/>
          <w:szCs w:val="24"/>
          <w:lang w:val="pt-BR"/>
        </w:rPr>
        <w:footnoteReference w:id="1"/>
      </w:r>
      <w:r w:rsidRPr="00933DE9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73084241" w14:textId="77777777" w:rsidR="00686B0D" w:rsidRPr="00933DE9" w:rsidRDefault="00686B0D" w:rsidP="00105CFA">
      <w:pPr>
        <w:spacing w:after="12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7D0192E" w14:textId="64014177" w:rsidR="00AB78EB" w:rsidRPr="00105CFA" w:rsidRDefault="00AB78EB" w:rsidP="00105CFA">
      <w:pPr>
        <w:pStyle w:val="Default"/>
        <w:spacing w:after="120"/>
        <w:jc w:val="both"/>
        <w:rPr>
          <w:color w:val="auto"/>
        </w:rPr>
      </w:pPr>
      <w:r w:rsidRPr="00105CFA">
        <w:rPr>
          <w:b/>
          <w:bCs/>
          <w:color w:val="auto"/>
        </w:rPr>
        <w:t>Akyuz, Yilmaz</w:t>
      </w:r>
      <w:r w:rsidRPr="00105CFA">
        <w:rPr>
          <w:color w:val="auto"/>
        </w:rPr>
        <w:t xml:space="preserve"> </w:t>
      </w:r>
      <w:r>
        <w:rPr>
          <w:color w:val="auto"/>
        </w:rPr>
        <w:t xml:space="preserve">- </w:t>
      </w:r>
      <w:r w:rsidRPr="00105CFA">
        <w:rPr>
          <w:color w:val="auto"/>
        </w:rPr>
        <w:t>“Waving or Drowning: Developing Countries After the Financial Crisis”, Research Paper No 48, South Center, Geneva, Switzerland, June 2013.</w:t>
      </w:r>
    </w:p>
    <w:p w14:paraId="22787404" w14:textId="52867BF4" w:rsidR="00E5507B" w:rsidRDefault="00E5507B" w:rsidP="00105CFA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436">
        <w:rPr>
          <w:rFonts w:ascii="Times New Roman" w:hAnsi="Times New Roman" w:cs="Times New Roman"/>
          <w:b/>
          <w:sz w:val="24"/>
          <w:szCs w:val="24"/>
        </w:rPr>
        <w:t>Alvaredo</w:t>
      </w:r>
      <w:r w:rsidRPr="000C5436">
        <w:rPr>
          <w:rFonts w:ascii="Times New Roman" w:hAnsi="Times New Roman" w:cs="Times New Roman"/>
          <w:sz w:val="24"/>
          <w:szCs w:val="24"/>
        </w:rPr>
        <w:t xml:space="preserve">, Fecundo; </w:t>
      </w:r>
      <w:r w:rsidRPr="000C5436">
        <w:rPr>
          <w:rFonts w:ascii="Times New Roman" w:hAnsi="Times New Roman" w:cs="Times New Roman"/>
          <w:b/>
          <w:sz w:val="24"/>
          <w:szCs w:val="24"/>
        </w:rPr>
        <w:t>Chancel</w:t>
      </w:r>
      <w:r w:rsidRPr="000C5436">
        <w:rPr>
          <w:rFonts w:ascii="Times New Roman" w:hAnsi="Times New Roman" w:cs="Times New Roman"/>
          <w:sz w:val="24"/>
          <w:szCs w:val="24"/>
        </w:rPr>
        <w:t xml:space="preserve">,Lucas; </w:t>
      </w:r>
      <w:r w:rsidRPr="000C5436">
        <w:rPr>
          <w:rFonts w:ascii="Times New Roman" w:hAnsi="Times New Roman" w:cs="Times New Roman"/>
          <w:b/>
          <w:sz w:val="24"/>
          <w:szCs w:val="24"/>
        </w:rPr>
        <w:t>Piketty</w:t>
      </w:r>
      <w:r w:rsidRPr="000C5436">
        <w:rPr>
          <w:rFonts w:ascii="Times New Roman" w:hAnsi="Times New Roman" w:cs="Times New Roman"/>
          <w:sz w:val="24"/>
          <w:szCs w:val="24"/>
        </w:rPr>
        <w:t xml:space="preserve">, Thomas; </w:t>
      </w:r>
      <w:r w:rsidRPr="000C5436">
        <w:rPr>
          <w:rFonts w:ascii="Times New Roman" w:hAnsi="Times New Roman" w:cs="Times New Roman"/>
          <w:b/>
          <w:sz w:val="24"/>
          <w:szCs w:val="24"/>
        </w:rPr>
        <w:t>Saez,</w:t>
      </w:r>
      <w:r w:rsidRPr="000C5436">
        <w:rPr>
          <w:rFonts w:ascii="Times New Roman" w:hAnsi="Times New Roman" w:cs="Times New Roman"/>
          <w:sz w:val="24"/>
          <w:szCs w:val="24"/>
        </w:rPr>
        <w:t xml:space="preserve"> Emmanuel &amp; </w:t>
      </w:r>
      <w:r w:rsidRPr="000C5436">
        <w:rPr>
          <w:rFonts w:ascii="Times New Roman" w:hAnsi="Times New Roman" w:cs="Times New Roman"/>
          <w:b/>
          <w:sz w:val="24"/>
          <w:szCs w:val="24"/>
        </w:rPr>
        <w:t>Zucman</w:t>
      </w:r>
      <w:r w:rsidRPr="000C5436">
        <w:rPr>
          <w:rFonts w:ascii="Times New Roman" w:hAnsi="Times New Roman" w:cs="Times New Roman"/>
          <w:sz w:val="24"/>
          <w:szCs w:val="24"/>
        </w:rPr>
        <w:t>, Gabriel – World Inequality Report, The Belknap Press, Cambridge, Mass, 2018.</w:t>
      </w:r>
    </w:p>
    <w:p w14:paraId="66F0706F" w14:textId="2BB2CFAB" w:rsidR="00DE69B8" w:rsidRPr="000C5436" w:rsidRDefault="00DE69B8" w:rsidP="00105CFA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B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Arestis, P.; Sawyer, M. </w:t>
      </w:r>
      <w:r w:rsidRPr="00DE69B8">
        <w:rPr>
          <w:rFonts w:ascii="Times New Roman" w:hAnsi="Times New Roman" w:cs="Times New Roman"/>
          <w:sz w:val="24"/>
          <w:szCs w:val="24"/>
        </w:rPr>
        <w:t>The Economics of the “</w:t>
      </w:r>
      <w:r w:rsidRPr="00DE69B8">
        <w:rPr>
          <w:rFonts w:ascii="Times New Roman" w:hAnsi="Times New Roman" w:cs="Times New Roman"/>
          <w:i/>
          <w:iCs/>
          <w:sz w:val="24"/>
          <w:szCs w:val="24"/>
        </w:rPr>
        <w:t>Third Way</w:t>
      </w:r>
      <w:r w:rsidRPr="00DE69B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69B8">
        <w:rPr>
          <w:rFonts w:ascii="Times New Roman" w:hAnsi="Times New Roman" w:cs="Times New Roman"/>
          <w:sz w:val="24"/>
          <w:szCs w:val="24"/>
        </w:rPr>
        <w:t>Brazilian Journal of Political Economy, vol. 21, nº 4 (84), pp. 673-689, October-December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9B8">
        <w:rPr>
          <w:rFonts w:ascii="Times New Roman" w:hAnsi="Times New Roman" w:cs="Times New Roman"/>
          <w:sz w:val="24"/>
          <w:szCs w:val="24"/>
        </w:rPr>
        <w:t>2001</w:t>
      </w:r>
    </w:p>
    <w:p w14:paraId="54574C6F" w14:textId="753406DE" w:rsidR="00CE7172" w:rsidRDefault="00CE7172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t>Arrig</w:t>
      </w:r>
      <w:r w:rsidR="00DA11B6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B725AE">
        <w:rPr>
          <w:rFonts w:asciiTheme="majorBidi" w:hAnsiTheme="majorBidi" w:cstheme="majorBidi"/>
          <w:b/>
          <w:bCs/>
          <w:sz w:val="24"/>
          <w:szCs w:val="24"/>
        </w:rPr>
        <w:t>i, Giovanni</w:t>
      </w:r>
      <w:r w:rsidRPr="00B725AE">
        <w:rPr>
          <w:rFonts w:asciiTheme="majorBidi" w:hAnsiTheme="majorBidi" w:cstheme="majorBidi"/>
          <w:sz w:val="24"/>
          <w:szCs w:val="24"/>
        </w:rPr>
        <w:t xml:space="preserve"> – “The World Economy and the Cold War – 1970-1990” em Leffer, Melvyn &amp; Westad, Odd Arne (org), The Cambridge History of Cold War, Cambridge University Press, 2010, pp.23-45Europe, MPRA Paper No. 24304, Munchen, 2008.</w:t>
      </w:r>
    </w:p>
    <w:p w14:paraId="2F546E9E" w14:textId="77777777" w:rsidR="00F50BD1" w:rsidRPr="006C14B6" w:rsidRDefault="00F50BD1" w:rsidP="00F50BD1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C14B6">
        <w:rPr>
          <w:rFonts w:asciiTheme="majorBidi" w:hAnsiTheme="majorBidi" w:cstheme="majorBidi"/>
          <w:b/>
          <w:bCs/>
          <w:sz w:val="24"/>
          <w:szCs w:val="24"/>
        </w:rPr>
        <w:t>Clarke, S. (2007)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C14B6">
        <w:rPr>
          <w:rFonts w:asciiTheme="majorBidi" w:hAnsiTheme="majorBidi" w:cstheme="majorBidi"/>
          <w:sz w:val="24"/>
          <w:szCs w:val="24"/>
        </w:rPr>
        <w:t>The Development of capitalism in Russia. London &amp; New York: Routledge.</w:t>
      </w:r>
    </w:p>
    <w:p w14:paraId="552481F5" w14:textId="77777777" w:rsidR="00F50BD1" w:rsidRDefault="00F50BD1" w:rsidP="00F50BD1">
      <w:pPr>
        <w:pStyle w:val="Default"/>
        <w:jc w:val="both"/>
        <w:rPr>
          <w:rFonts w:asciiTheme="majorBidi" w:hAnsiTheme="majorBidi" w:cstheme="majorBidi"/>
        </w:rPr>
      </w:pPr>
      <w:r w:rsidRPr="00550357">
        <w:rPr>
          <w:rFonts w:asciiTheme="majorBidi" w:hAnsiTheme="majorBidi" w:cstheme="majorBidi"/>
          <w:b/>
          <w:bCs/>
        </w:rPr>
        <w:t>Feinberg</w:t>
      </w:r>
      <w:r w:rsidRPr="00550357">
        <w:rPr>
          <w:rFonts w:asciiTheme="majorBidi" w:hAnsiTheme="majorBidi" w:cstheme="majorBidi"/>
        </w:rPr>
        <w:t xml:space="preserve">, Richard E- “The Political Economy of United States` Free Trade Arrangements”, </w:t>
      </w:r>
      <w:r w:rsidRPr="00550357">
        <w:rPr>
          <w:rFonts w:asciiTheme="majorBidi" w:hAnsiTheme="majorBidi" w:cstheme="majorBidi"/>
          <w:i/>
          <w:iCs/>
        </w:rPr>
        <w:t>The World Economy</w:t>
      </w:r>
      <w:r w:rsidRPr="00550357">
        <w:rPr>
          <w:rFonts w:asciiTheme="majorBidi" w:hAnsiTheme="majorBidi" w:cstheme="majorBidi"/>
        </w:rPr>
        <w:t xml:space="preserve">, Vol 26, Issue 7, 2003, pp.1019-1040. </w:t>
      </w:r>
    </w:p>
    <w:p w14:paraId="1C060E04" w14:textId="77777777" w:rsidR="00F50BD1" w:rsidRDefault="00F50BD1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2F2E3388" w14:textId="77777777" w:rsidR="00EF43C6" w:rsidRPr="001613FD" w:rsidRDefault="00EF43C6" w:rsidP="00EF43C6">
      <w:pPr>
        <w:rPr>
          <w:rFonts w:ascii="Times New Roman" w:hAnsi="Times New Roman" w:cs="Times New Roman"/>
          <w:bCs/>
          <w:sz w:val="24"/>
          <w:szCs w:val="24"/>
        </w:rPr>
      </w:pPr>
      <w:r w:rsidRPr="0026716F">
        <w:rPr>
          <w:rFonts w:ascii="Times New Roman" w:hAnsi="Times New Roman" w:cs="Times New Roman"/>
          <w:b/>
          <w:bCs/>
          <w:sz w:val="24"/>
          <w:szCs w:val="24"/>
        </w:rPr>
        <w:t>Fine, Ben &amp; Saad-Filho</w:t>
      </w:r>
      <w:r w:rsidRPr="0026716F">
        <w:rPr>
          <w:rFonts w:ascii="Times New Roman" w:hAnsi="Times New Roman" w:cs="Times New Roman"/>
          <w:sz w:val="24"/>
          <w:szCs w:val="24"/>
        </w:rPr>
        <w:t xml:space="preserve">, </w:t>
      </w:r>
      <w:r w:rsidRPr="0026716F">
        <w:rPr>
          <w:rFonts w:ascii="Times New Roman" w:hAnsi="Times New Roman" w:cs="Times New Roman"/>
          <w:i/>
          <w:iCs/>
          <w:sz w:val="24"/>
          <w:szCs w:val="24"/>
        </w:rPr>
        <w:t xml:space="preserve">Thirteen Things You Need to Know About Neoliberalism, </w:t>
      </w:r>
      <w:r w:rsidRPr="0026716F">
        <w:rPr>
          <w:rFonts w:ascii="Times New Roman" w:hAnsi="Times New Roman" w:cs="Times New Roman"/>
          <w:sz w:val="24"/>
          <w:szCs w:val="24"/>
        </w:rPr>
        <w:t>Critical Sociology 2017, Vol. 43(4-5) 685–70</w:t>
      </w:r>
    </w:p>
    <w:p w14:paraId="69E5AFDD" w14:textId="77777777" w:rsidR="00EA3CE5" w:rsidRPr="00EA3CE5" w:rsidRDefault="00EA3CE5" w:rsidP="00EA3CE5">
      <w:pPr>
        <w:pStyle w:val="Default"/>
        <w:jc w:val="both"/>
        <w:rPr>
          <w:rFonts w:asciiTheme="majorBidi" w:hAnsiTheme="majorBidi" w:cstheme="majorBidi"/>
        </w:rPr>
      </w:pPr>
    </w:p>
    <w:p w14:paraId="5A8B488B" w14:textId="645835DC" w:rsidR="007174AB" w:rsidRDefault="008A501D" w:rsidP="00105CFA">
      <w:pPr>
        <w:spacing w:line="240" w:lineRule="auto"/>
        <w:rPr>
          <w:rFonts w:ascii="Times New Roman" w:hAnsi="Times New Roman" w:cs="Times New Roman"/>
        </w:rPr>
      </w:pPr>
      <w:r w:rsidRPr="00D72177">
        <w:rPr>
          <w:rFonts w:ascii="Times New Roman" w:hAnsi="Times New Roman" w:cs="Times New Roman"/>
          <w:b/>
          <w:sz w:val="24"/>
          <w:szCs w:val="24"/>
        </w:rPr>
        <w:t>Galbraith, James</w:t>
      </w:r>
      <w:r w:rsidRPr="00BC5D11">
        <w:rPr>
          <w:rFonts w:ascii="Times New Roman" w:hAnsi="Times New Roman" w:cs="Times New Roman"/>
        </w:rPr>
        <w:t xml:space="preserve"> – “The Great Crisis and the American Response”, Levy Economic Institute of Bard College, Public Policy Brief, No 112, 2010.</w:t>
      </w:r>
    </w:p>
    <w:p w14:paraId="260E55B1" w14:textId="77777777" w:rsidR="00F50BD1" w:rsidRDefault="00F50BD1" w:rsidP="00F50BD1">
      <w:pPr>
        <w:rPr>
          <w:rFonts w:ascii="Times New Roman" w:hAnsi="Times New Roman" w:cs="Times New Roman"/>
          <w:sz w:val="24"/>
          <w:szCs w:val="24"/>
        </w:rPr>
      </w:pPr>
      <w:r w:rsidRPr="0026716F">
        <w:rPr>
          <w:rFonts w:ascii="Times New Roman" w:hAnsi="Times New Roman" w:cs="Times New Roman"/>
          <w:b/>
          <w:sz w:val="24"/>
          <w:szCs w:val="24"/>
        </w:rPr>
        <w:t>Gamble</w:t>
      </w:r>
      <w:r w:rsidRPr="0026716F">
        <w:rPr>
          <w:rFonts w:ascii="Times New Roman" w:hAnsi="Times New Roman" w:cs="Times New Roman"/>
          <w:sz w:val="24"/>
          <w:szCs w:val="24"/>
        </w:rPr>
        <w:t xml:space="preserve">, Andrew – “Two Faces of Neoliberalism” em </w:t>
      </w:r>
      <w:r w:rsidRPr="0026716F">
        <w:rPr>
          <w:rFonts w:ascii="Times New Roman" w:hAnsi="Times New Roman" w:cs="Times New Roman"/>
          <w:b/>
          <w:sz w:val="24"/>
          <w:szCs w:val="24"/>
        </w:rPr>
        <w:t>Robison</w:t>
      </w:r>
      <w:r w:rsidRPr="0026716F">
        <w:rPr>
          <w:rFonts w:ascii="Times New Roman" w:hAnsi="Times New Roman" w:cs="Times New Roman"/>
          <w:sz w:val="24"/>
          <w:szCs w:val="24"/>
        </w:rPr>
        <w:t xml:space="preserve">, Richard (org) </w:t>
      </w:r>
      <w:r w:rsidRPr="0026716F">
        <w:rPr>
          <w:rFonts w:ascii="Times New Roman" w:hAnsi="Times New Roman" w:cs="Times New Roman"/>
          <w:i/>
          <w:sz w:val="24"/>
          <w:szCs w:val="24"/>
        </w:rPr>
        <w:t>The Neoliberal Revolution: Forging the Market State</w:t>
      </w:r>
      <w:r w:rsidRPr="0026716F">
        <w:rPr>
          <w:rFonts w:ascii="Times New Roman" w:hAnsi="Times New Roman" w:cs="Times New Roman"/>
          <w:sz w:val="24"/>
          <w:szCs w:val="24"/>
        </w:rPr>
        <w:t>, Palgrave, 2006, pp.20-35.</w:t>
      </w:r>
    </w:p>
    <w:p w14:paraId="3F1FE782" w14:textId="19058F68" w:rsidR="00EC2D5B" w:rsidRDefault="00EC2D5B" w:rsidP="00105CFA">
      <w:pPr>
        <w:spacing w:line="240" w:lineRule="auto"/>
        <w:rPr>
          <w:rFonts w:ascii="Times New Roman" w:hAnsi="Times New Roman" w:cs="Times New Roman"/>
        </w:rPr>
      </w:pPr>
      <w:r w:rsidRPr="00D72177">
        <w:rPr>
          <w:rFonts w:ascii="Times New Roman" w:hAnsi="Times New Roman" w:cs="Times New Roman"/>
          <w:b/>
          <w:sz w:val="24"/>
          <w:szCs w:val="24"/>
        </w:rPr>
        <w:t>Geiselberger, Henrich</w:t>
      </w:r>
      <w:r w:rsidRPr="00EC2D5B">
        <w:rPr>
          <w:rFonts w:ascii="Times New Roman" w:hAnsi="Times New Roman" w:cs="Times New Roman"/>
        </w:rPr>
        <w:t xml:space="preserve"> – The Great Regression, Polity Press, Cambridge, 2017</w:t>
      </w:r>
      <w:r w:rsidR="00B55C8C">
        <w:rPr>
          <w:rFonts w:ascii="Times New Roman" w:hAnsi="Times New Roman" w:cs="Times New Roman"/>
        </w:rPr>
        <w:t>.</w:t>
      </w:r>
    </w:p>
    <w:p w14:paraId="348C2CB9" w14:textId="77777777" w:rsidR="007C204A" w:rsidRPr="00933DE9" w:rsidRDefault="007C204A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es-419"/>
        </w:rPr>
      </w:pPr>
      <w:r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Gereffi, Gary, and Raphael Kaplinsky. </w:t>
      </w:r>
      <w:r w:rsidRPr="00933DE9">
        <w:rPr>
          <w:rFonts w:asciiTheme="majorBidi" w:hAnsiTheme="majorBidi" w:cstheme="majorBidi"/>
          <w:sz w:val="24"/>
          <w:szCs w:val="24"/>
          <w:lang w:val="es-419"/>
        </w:rPr>
        <w:t>"Introduction: Globalisation, value chains and development." IDS bulletin 32.3 (2001): 1-8.</w:t>
      </w:r>
    </w:p>
    <w:p w14:paraId="31C46112" w14:textId="77777777" w:rsidR="001E17F3" w:rsidRDefault="001E17F3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05CFA">
        <w:rPr>
          <w:rFonts w:ascii="Times New Roman" w:hAnsi="Times New Roman" w:cs="Times New Roman"/>
          <w:b/>
          <w:sz w:val="24"/>
          <w:szCs w:val="24"/>
          <w:lang w:val="es-ES"/>
        </w:rPr>
        <w:t>Guillén</w:t>
      </w:r>
      <w:r w:rsidRPr="00105CF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94765C">
        <w:rPr>
          <w:rFonts w:ascii="Times New Roman" w:hAnsi="Times New Roman" w:cs="Times New Roman"/>
          <w:b/>
          <w:bCs/>
          <w:sz w:val="24"/>
          <w:szCs w:val="24"/>
          <w:lang w:val="es-ES"/>
        </w:rPr>
        <w:t>Arturo</w:t>
      </w:r>
      <w:r w:rsidRPr="00105CFA">
        <w:rPr>
          <w:rFonts w:ascii="Times New Roman" w:hAnsi="Times New Roman" w:cs="Times New Roman"/>
          <w:sz w:val="24"/>
          <w:szCs w:val="24"/>
          <w:lang w:val="es-ES"/>
        </w:rPr>
        <w:t xml:space="preserve"> – La Tercera Fase de la Crisis Global: A Europa en el Centro del torbellino,2011, </w:t>
      </w:r>
      <w:r w:rsidRPr="00105CFA">
        <w:rPr>
          <w:rFonts w:ascii="Times New Roman" w:hAnsi="Times New Roman" w:cs="Times New Roman"/>
          <w:sz w:val="24"/>
          <w:szCs w:val="24"/>
          <w:lang w:val="es-419"/>
        </w:rPr>
        <w:t xml:space="preserve">Universidad Autónoma Metropolitana Iztapalapa, </w:t>
      </w:r>
      <w:r w:rsidRPr="00105CFA">
        <w:rPr>
          <w:rFonts w:ascii="Times New Roman" w:hAnsi="Times New Roman" w:cs="Times New Roman"/>
          <w:sz w:val="24"/>
          <w:szCs w:val="24"/>
          <w:lang w:val="es-ES"/>
        </w:rPr>
        <w:t xml:space="preserve">disponível em </w:t>
      </w:r>
      <w:hyperlink r:id="rId8" w:history="1">
        <w:r w:rsidRPr="00105CFA">
          <w:rPr>
            <w:rStyle w:val="Hyperlink"/>
            <w:sz w:val="24"/>
            <w:szCs w:val="24"/>
            <w:lang w:val="es-ES"/>
          </w:rPr>
          <w:t>http://www.ieim.uqam.ca/IMG/pdf/la_tercera_fase_de_la_crisis_global_11.pdf</w:t>
        </w:r>
      </w:hyperlink>
      <w:r w:rsidRPr="00105CFA">
        <w:rPr>
          <w:rFonts w:ascii="Times New Roman" w:hAnsi="Times New Roman" w:cs="Times New Roman"/>
          <w:sz w:val="24"/>
          <w:szCs w:val="24"/>
          <w:lang w:val="es-ES"/>
        </w:rPr>
        <w:t>.;</w:t>
      </w:r>
    </w:p>
    <w:p w14:paraId="24B1C2CE" w14:textId="77777777" w:rsidR="00E57BEC" w:rsidRPr="00933DE9" w:rsidRDefault="00E57BEC" w:rsidP="00E57BEC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sz w:val="24"/>
          <w:szCs w:val="24"/>
        </w:rPr>
        <w:t>Hanson</w:t>
      </w:r>
      <w:r w:rsidRPr="00933DE9">
        <w:rPr>
          <w:rFonts w:ascii="Times New Roman" w:hAnsi="Times New Roman" w:cs="Times New Roman"/>
          <w:sz w:val="24"/>
          <w:szCs w:val="24"/>
        </w:rPr>
        <w:t>, Philip, The Rise and Fall of the Soviet Economy: A Economic History of the Soviet Union from 1945, Routledge, 2014, cap.9, pp.241-255 ;</w:t>
      </w:r>
    </w:p>
    <w:p w14:paraId="4460C538" w14:textId="77777777" w:rsidR="00A2152D" w:rsidRDefault="00A2152D" w:rsidP="00A2152D">
      <w:pPr>
        <w:spacing w:line="240" w:lineRule="auto"/>
        <w:rPr>
          <w:rFonts w:asciiTheme="majorBidi" w:hAnsiTheme="majorBidi" w:cstheme="majorBidi"/>
          <w:sz w:val="24"/>
          <w:szCs w:val="24"/>
          <w:lang w:val="pt-BR"/>
        </w:rPr>
      </w:pPr>
      <w:r w:rsidRPr="00CE7172">
        <w:rPr>
          <w:rFonts w:asciiTheme="majorBidi" w:hAnsiTheme="majorBidi" w:cstheme="majorBidi"/>
          <w:b/>
          <w:bCs/>
          <w:sz w:val="24"/>
          <w:szCs w:val="24"/>
          <w:lang w:val="pt-BR"/>
        </w:rPr>
        <w:t>Judt, Tony</w:t>
      </w:r>
      <w:r w:rsidRPr="00CE7172">
        <w:rPr>
          <w:rFonts w:asciiTheme="majorBidi" w:hAnsiTheme="majorBidi" w:cstheme="majorBidi"/>
          <w:sz w:val="24"/>
          <w:szCs w:val="24"/>
          <w:lang w:val="pt-BR"/>
        </w:rPr>
        <w:t xml:space="preserve"> – O Mal Ronda a Terra: Um Tratado sobre as Insatisfações do Presente, Objetiva, Rio de Janeiro, 2010 – cap.2, pp.49-82;</w:t>
      </w:r>
    </w:p>
    <w:p w14:paraId="527DEFAE" w14:textId="77777777" w:rsidR="00A2152D" w:rsidRPr="007059FF" w:rsidRDefault="00A2152D" w:rsidP="00E57BEC">
      <w:pPr>
        <w:spacing w:after="8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28B129B" w14:textId="77777777" w:rsidR="00E57BEC" w:rsidRPr="00933DE9" w:rsidRDefault="00E57BEC" w:rsidP="00E57BEC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sz w:val="24"/>
          <w:szCs w:val="24"/>
        </w:rPr>
        <w:t>Kornai</w:t>
      </w:r>
      <w:r w:rsidRPr="00933DE9">
        <w:rPr>
          <w:rFonts w:ascii="Times New Roman" w:hAnsi="Times New Roman" w:cs="Times New Roman"/>
          <w:sz w:val="24"/>
          <w:szCs w:val="24"/>
        </w:rPr>
        <w:t>, J – “Resource-Constrained versus Demand-Constrained Systems”,  Econometrica, Vol. 47, No. 4 (Jul., 1979), pp. 801-819;</w:t>
      </w:r>
    </w:p>
    <w:p w14:paraId="59896B16" w14:textId="0A090900" w:rsidR="007C204A" w:rsidRDefault="007C204A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Medeiros, Carlos Aguiar </w:t>
      </w:r>
      <w:r w:rsidR="0079633B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de 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- 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>"A China como um duplo pólo na economia mundial e a recentralização da economia asiática." Brazilian Journal of Political Economy 26.3 (2006): 381-400.</w:t>
      </w:r>
    </w:p>
    <w:p w14:paraId="427BC6FE" w14:textId="218DD412" w:rsidR="00A2152D" w:rsidRPr="001613FD" w:rsidRDefault="00A2152D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26716F">
        <w:rPr>
          <w:rFonts w:ascii="Times New Roman" w:hAnsi="Times New Roman" w:cs="Times New Roman"/>
          <w:b/>
          <w:sz w:val="24"/>
          <w:szCs w:val="24"/>
          <w:lang w:val="pt-BR"/>
        </w:rPr>
        <w:t>Merquior</w:t>
      </w:r>
      <w:r w:rsidRPr="0026716F">
        <w:rPr>
          <w:rFonts w:ascii="Times New Roman" w:hAnsi="Times New Roman" w:cs="Times New Roman"/>
          <w:sz w:val="24"/>
          <w:szCs w:val="24"/>
          <w:lang w:val="pt-BR"/>
        </w:rPr>
        <w:t xml:space="preserve">, José Guilherme – </w:t>
      </w:r>
      <w:r w:rsidRPr="0026716F">
        <w:rPr>
          <w:rFonts w:ascii="Times New Roman" w:hAnsi="Times New Roman" w:cs="Times New Roman"/>
          <w:i/>
          <w:sz w:val="24"/>
          <w:szCs w:val="24"/>
          <w:lang w:val="pt-BR"/>
        </w:rPr>
        <w:t>O Liberalismo, Antigo e Moderno</w:t>
      </w:r>
      <w:r w:rsidRPr="0026716F">
        <w:rPr>
          <w:rFonts w:ascii="Times New Roman" w:hAnsi="Times New Roman" w:cs="Times New Roman"/>
          <w:sz w:val="24"/>
          <w:szCs w:val="24"/>
          <w:lang w:val="pt-BR"/>
        </w:rPr>
        <w:t>; É Realizações Editora, São Paulo, 2014, cap. 1 e 2, pp.40-93</w:t>
      </w:r>
    </w:p>
    <w:p w14:paraId="5AC72BC7" w14:textId="0A4ABB33" w:rsidR="00983153" w:rsidRPr="001613FD" w:rsidRDefault="00983153" w:rsidP="00105CFA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Mazat, N</w:t>
      </w:r>
      <w:r w:rsidR="006B43F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uma</w:t>
      </w:r>
      <w:r w:rsidR="00BA5F0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; 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Serrano, F</w:t>
      </w:r>
      <w:r w:rsidR="006B43F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ranklin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 w:rsidR="006B43FF" w:rsidRPr="001613FD">
        <w:rPr>
          <w:rFonts w:asciiTheme="majorBidi" w:hAnsiTheme="majorBidi" w:cstheme="majorBidi"/>
          <w:sz w:val="24"/>
          <w:szCs w:val="24"/>
          <w:lang w:val="pt-BR"/>
        </w:rPr>
        <w:t>-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>A Potência Vulnerável: Padrões de Investimento e Mudança Estrutural da União Soviética a Federação Russa. In: Bielschowsky, R. Padrões de Investimento e de Transformação Estrutural nos Países Emergentes. Brasília: CEPAL/CGEE, parte 2.5, 2.6 e 2.7.</w:t>
      </w:r>
    </w:p>
    <w:p w14:paraId="7F37B9C7" w14:textId="18BE7CFA" w:rsidR="00983153" w:rsidRDefault="00983153" w:rsidP="000C78D7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lastRenderedPageBreak/>
        <w:t>Mazat, N</w:t>
      </w:r>
      <w:r w:rsidR="00BA5F0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uma; 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Medeiros, C</w:t>
      </w:r>
      <w:r w:rsidR="00BA5F0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arlos Aguiar de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 </w:t>
      </w:r>
      <w:r w:rsidR="006B43F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- 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Geopolitics, Geoeconomics, and Development Strategies in the New Millennium. </w:t>
      </w:r>
      <w:r w:rsidRPr="00105CFA">
        <w:rPr>
          <w:rFonts w:asciiTheme="majorBidi" w:hAnsiTheme="majorBidi" w:cstheme="majorBidi"/>
          <w:sz w:val="24"/>
          <w:szCs w:val="24"/>
        </w:rPr>
        <w:t xml:space="preserve">In: FERNÁNDEZ, V.R. &amp; BRONDINO, G. (Org.). Development in Latin America. Critical Discussions from the Periphery. 1ed.London: Palgrave Macmillan, </w:t>
      </w:r>
      <w:r w:rsidR="006B43FF">
        <w:rPr>
          <w:rFonts w:asciiTheme="majorBidi" w:hAnsiTheme="majorBidi" w:cstheme="majorBidi"/>
          <w:sz w:val="24"/>
          <w:szCs w:val="24"/>
        </w:rPr>
        <w:t xml:space="preserve">2019, </w:t>
      </w:r>
      <w:r w:rsidRPr="00105CFA">
        <w:rPr>
          <w:rFonts w:asciiTheme="majorBidi" w:hAnsiTheme="majorBidi" w:cstheme="majorBidi"/>
          <w:sz w:val="24"/>
          <w:szCs w:val="24"/>
        </w:rPr>
        <w:t>p. 89-122.</w:t>
      </w:r>
    </w:p>
    <w:p w14:paraId="3D9E56E3" w14:textId="11563D52" w:rsidR="006B43FF" w:rsidRPr="00105CFA" w:rsidRDefault="006B43FF" w:rsidP="00105CFA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05CFA">
        <w:rPr>
          <w:rFonts w:asciiTheme="majorBidi" w:hAnsiTheme="majorBidi" w:cstheme="majorBidi"/>
          <w:b/>
          <w:bCs/>
          <w:sz w:val="24"/>
          <w:szCs w:val="24"/>
        </w:rPr>
        <w:t>Milberg, William; Winkler, Deborah</w:t>
      </w:r>
      <w:r>
        <w:rPr>
          <w:rFonts w:asciiTheme="majorBidi" w:hAnsiTheme="majorBidi" w:cstheme="majorBidi"/>
          <w:sz w:val="24"/>
          <w:szCs w:val="24"/>
        </w:rPr>
        <w:t xml:space="preserve"> -</w:t>
      </w:r>
      <w:r w:rsidRPr="00243AC9">
        <w:rPr>
          <w:rFonts w:asciiTheme="majorBidi" w:hAnsiTheme="majorBidi" w:cstheme="majorBidi"/>
          <w:sz w:val="24"/>
          <w:szCs w:val="24"/>
        </w:rPr>
        <w:t xml:space="preserve"> </w:t>
      </w:r>
      <w:r w:rsidRPr="00105CFA">
        <w:rPr>
          <w:rFonts w:asciiTheme="majorBidi" w:hAnsiTheme="majorBidi" w:cstheme="majorBidi"/>
          <w:sz w:val="24"/>
          <w:szCs w:val="24"/>
        </w:rPr>
        <w:t>Outsourcing Economics: Global Value Chains in Capitalist Development.</w:t>
      </w:r>
      <w:r w:rsidRPr="00243AC9">
        <w:rPr>
          <w:rFonts w:asciiTheme="majorBidi" w:hAnsiTheme="majorBidi" w:cstheme="majorBidi"/>
          <w:sz w:val="24"/>
          <w:szCs w:val="24"/>
        </w:rPr>
        <w:t xml:space="preserve"> Cambridge: Cambridge University Press, </w:t>
      </w:r>
      <w:r>
        <w:rPr>
          <w:rFonts w:asciiTheme="majorBidi" w:hAnsiTheme="majorBidi" w:cstheme="majorBidi"/>
          <w:sz w:val="24"/>
          <w:szCs w:val="24"/>
        </w:rPr>
        <w:t xml:space="preserve">2013, </w:t>
      </w:r>
      <w:r w:rsidRPr="00243AC9">
        <w:rPr>
          <w:rFonts w:asciiTheme="majorBidi" w:hAnsiTheme="majorBidi" w:cstheme="majorBidi"/>
          <w:sz w:val="24"/>
          <w:szCs w:val="24"/>
        </w:rPr>
        <w:t>cap. 1 e 2</w:t>
      </w:r>
    </w:p>
    <w:p w14:paraId="3BA67271" w14:textId="5DCD707A" w:rsidR="00CD2EB5" w:rsidRDefault="00CD2EB5" w:rsidP="00105CFA">
      <w:pPr>
        <w:spacing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D2EB5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Mitchell, William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– Eurozone Dystopia: </w:t>
      </w:r>
      <w:r w:rsidR="00FE228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Groupthink on a Grand Scale. Cheltenham: Edward Elgar, 2015, </w:t>
      </w:r>
      <w:r w:rsidR="00454AE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caps. 8-10, </w:t>
      </w:r>
      <w:r w:rsidR="00FE228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pp.131-177.</w:t>
      </w:r>
    </w:p>
    <w:p w14:paraId="62D8E593" w14:textId="0D77A773" w:rsidR="00CE09AA" w:rsidRDefault="00CE09AA" w:rsidP="00105CFA">
      <w:pPr>
        <w:spacing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 xml:space="preserve">Ocampo, Jose Antonio –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Latin America´s Growth and Equity Frustrations during Structural Reforms, Journal of Economic Perspectives, vol. 18, n.2, 2004, pp.67-88.</w:t>
      </w:r>
    </w:p>
    <w:p w14:paraId="66911999" w14:textId="77777777" w:rsidR="006870ED" w:rsidRDefault="006870ED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Ocampo, José Antonio – </w:t>
      </w:r>
      <w:r w:rsidRPr="00C45740">
        <w:rPr>
          <w:rFonts w:asciiTheme="majorBidi" w:hAnsiTheme="majorBidi" w:cstheme="majorBidi"/>
          <w:sz w:val="24"/>
          <w:szCs w:val="24"/>
        </w:rPr>
        <w:t>“The Macroeconomics of Latin American Economic Boom”, Cepal Review 93, December 2007, pp7-28;</w:t>
      </w:r>
    </w:p>
    <w:p w14:paraId="5A34AE6A" w14:textId="6B065B92" w:rsidR="00B633FF" w:rsidRPr="00933DE9" w:rsidRDefault="00B633FF" w:rsidP="00B633FF">
      <w:p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Ocampo</w:t>
      </w:r>
      <w:r w:rsidRPr="00D803D0">
        <w:rPr>
          <w:rFonts w:asciiTheme="majorBidi" w:hAnsiTheme="majorBidi" w:cstheme="majorBidi"/>
          <w:sz w:val="24"/>
          <w:szCs w:val="24"/>
        </w:rPr>
        <w:t>,</w:t>
      </w:r>
      <w:r w:rsidRPr="00D803D0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D803D0">
        <w:rPr>
          <w:rFonts w:asciiTheme="majorBidi" w:hAnsiTheme="majorBidi" w:cstheme="majorBidi"/>
          <w:sz w:val="24"/>
          <w:szCs w:val="24"/>
        </w:rPr>
        <w:t xml:space="preserve"> </w:t>
      </w:r>
      <w:r w:rsidR="00420314"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José Antonio </w:t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Pr="00D803D0">
        <w:rPr>
          <w:rFonts w:asciiTheme="majorBidi" w:hAnsiTheme="majorBidi" w:cstheme="majorBidi"/>
          <w:sz w:val="24"/>
          <w:szCs w:val="24"/>
        </w:rPr>
        <w:t xml:space="preserve">Commodity-led Development in Latin America. </w:t>
      </w:r>
      <w:r w:rsidRPr="00D84F4F">
        <w:rPr>
          <w:rFonts w:asciiTheme="majorBidi" w:hAnsiTheme="majorBidi" w:cstheme="majorBidi"/>
          <w:sz w:val="24"/>
          <w:szCs w:val="24"/>
          <w:lang w:val="es-ES"/>
        </w:rPr>
        <w:t xml:space="preserve">In: Campodónico, H. etal.  </w:t>
      </w:r>
      <w:r w:rsidRPr="00D803D0">
        <w:rPr>
          <w:rFonts w:asciiTheme="majorBidi" w:hAnsiTheme="majorBidi" w:cstheme="majorBidi"/>
          <w:sz w:val="24"/>
          <w:szCs w:val="24"/>
        </w:rPr>
        <w:t xml:space="preserve">(Org.)  Alternative   Pathways to Sustainable   Development:   Lessons   from   Latin </w:t>
      </w:r>
      <w:r>
        <w:rPr>
          <w:rFonts w:asciiTheme="majorBidi" w:hAnsiTheme="majorBidi" w:cstheme="majorBidi"/>
          <w:sz w:val="24"/>
          <w:szCs w:val="24"/>
        </w:rPr>
        <w:t>A</w:t>
      </w:r>
      <w:r w:rsidRPr="00D803D0">
        <w:rPr>
          <w:rFonts w:asciiTheme="majorBidi" w:hAnsiTheme="majorBidi" w:cstheme="majorBidi"/>
          <w:sz w:val="24"/>
          <w:szCs w:val="24"/>
        </w:rPr>
        <w:t>merica.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33DE9">
        <w:rPr>
          <w:rFonts w:asciiTheme="majorBidi" w:hAnsiTheme="majorBidi" w:cstheme="majorBidi"/>
          <w:sz w:val="24"/>
          <w:szCs w:val="24"/>
        </w:rPr>
        <w:t>Leiden|Boston/Geneva: Brill Nijhoff/Graduate Institute Publications, 2017.</w:t>
      </w:r>
    </w:p>
    <w:p w14:paraId="32140FB8" w14:textId="77777777" w:rsidR="00B633FF" w:rsidRPr="00933DE9" w:rsidRDefault="00B633FF" w:rsidP="00B633FF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1F03427" w14:textId="17C49EDB" w:rsidR="00634676" w:rsidRDefault="00634676" w:rsidP="00105CFA">
      <w:pPr>
        <w:spacing w:after="120" w:line="240" w:lineRule="auto"/>
        <w:jc w:val="both"/>
        <w:rPr>
          <w:rFonts w:asciiTheme="majorBidi" w:hAnsiTheme="majorBidi" w:cstheme="majorBidi"/>
          <w:bCs/>
          <w:sz w:val="24"/>
          <w:szCs w:val="24"/>
          <w:shd w:val="clear" w:color="auto" w:fill="FFFFFF"/>
        </w:rPr>
      </w:pP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O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campo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, J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ose Antonio;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 xml:space="preserve"> </w:t>
      </w:r>
      <w:r w:rsidRPr="00634676"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B</w:t>
      </w:r>
      <w:r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astian</w:t>
      </w:r>
      <w:r w:rsidRPr="00634676"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, E</w:t>
      </w:r>
      <w:r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duardo</w:t>
      </w:r>
      <w:r w:rsidRPr="00634676"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 xml:space="preserve"> F.</w:t>
      </w:r>
      <w:r w:rsidR="00CB4831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;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 xml:space="preserve"> R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eis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, M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arcos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(2018)</w:t>
      </w:r>
      <w:r w:rsidRPr="00411A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“</w:t>
      </w:r>
      <w:r w:rsidRPr="00411A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The myth of the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</w:t>
      </w:r>
      <w:r w:rsidRPr="00411A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Latin American decade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”, </w:t>
      </w:r>
      <w:r w:rsidRPr="00B725AE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PSL Quarterly Review, v. 71, p. 231, 2018.</w:t>
      </w:r>
    </w:p>
    <w:p w14:paraId="209D93C8" w14:textId="77777777" w:rsidR="00DB60CE" w:rsidRPr="00C45740" w:rsidRDefault="00DB60CE" w:rsidP="00105CF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O’Neill, Jim – </w:t>
      </w:r>
      <w:r w:rsidRPr="00C45740">
        <w:rPr>
          <w:rFonts w:asciiTheme="majorBidi" w:hAnsiTheme="majorBidi" w:cstheme="majorBidi"/>
          <w:sz w:val="24"/>
          <w:szCs w:val="24"/>
        </w:rPr>
        <w:t>“Building Better Global Economic BRICs”, Global Economics Paper, N.66, Goldman Sachs, 30th November, 2001.</w:t>
      </w:r>
    </w:p>
    <w:p w14:paraId="1A8F2BBA" w14:textId="71E19897" w:rsidR="00D90AA4" w:rsidRDefault="00D90AA4" w:rsidP="000C78D7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90AA4">
        <w:rPr>
          <w:rFonts w:asciiTheme="majorBidi" w:hAnsiTheme="majorBidi" w:cstheme="majorBidi"/>
          <w:b/>
          <w:bCs/>
          <w:sz w:val="24"/>
          <w:szCs w:val="24"/>
        </w:rPr>
        <w:t xml:space="preserve">Palley, Thomas - </w:t>
      </w:r>
      <w:r w:rsidRPr="00D90AA4">
        <w:rPr>
          <w:rFonts w:asciiTheme="majorBidi" w:hAnsiTheme="majorBidi" w:cstheme="majorBidi"/>
          <w:sz w:val="24"/>
          <w:szCs w:val="24"/>
        </w:rPr>
        <w:t>The US Economy: Explaining Stagnation and Why It Will Persist.</w:t>
      </w:r>
      <w:r w:rsidRPr="00B32FAC">
        <w:rPr>
          <w:rFonts w:asciiTheme="majorBidi" w:hAnsiTheme="majorBidi" w:cstheme="majorBidi"/>
          <w:sz w:val="24"/>
          <w:szCs w:val="24"/>
        </w:rPr>
        <w:t xml:space="preserve"> Retrieved from: </w:t>
      </w:r>
      <w:hyperlink r:id="rId9" w:history="1">
        <w:r w:rsidRPr="003B3E48">
          <w:rPr>
            <w:rStyle w:val="Hyperlink"/>
            <w:rFonts w:asciiTheme="majorBidi" w:hAnsiTheme="majorBidi" w:cstheme="majorBidi"/>
            <w:sz w:val="24"/>
            <w:szCs w:val="24"/>
          </w:rPr>
          <w:t>http://www.thomaspalley.com/docs/research/Interpretations%20of%20the%20Crisis%20-%20WEBSITE.pdf</w:t>
        </w:r>
      </w:hyperlink>
      <w:r>
        <w:rPr>
          <w:rFonts w:asciiTheme="majorBidi" w:hAnsiTheme="majorBidi" w:cstheme="majorBidi"/>
          <w:sz w:val="24"/>
          <w:szCs w:val="24"/>
        </w:rPr>
        <w:t>, 2015.</w:t>
      </w:r>
    </w:p>
    <w:p w14:paraId="76A7DBAD" w14:textId="6B3ED4B4" w:rsidR="0060447F" w:rsidRPr="00105CFA" w:rsidRDefault="0060447F" w:rsidP="00105CFA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Palma, Gabriel </w:t>
      </w:r>
      <w:r>
        <w:rPr>
          <w:rFonts w:asciiTheme="majorBidi" w:hAnsiTheme="majorBidi" w:cstheme="majorBidi"/>
          <w:sz w:val="24"/>
          <w:szCs w:val="24"/>
        </w:rPr>
        <w:t>– The ‘Three Routes’ to Financial Crisis: Chile, Mexico and Argentina [1]; Brazil [2]; and Korea, Malaysia and Thailand [3]. In: Chang, Ha-Joon (ed.). Rethinking Development Economics. London: Anthem Press, 2006, pp.347-376.</w:t>
      </w:r>
    </w:p>
    <w:p w14:paraId="2E3DBCDB" w14:textId="1E6D25BB" w:rsidR="003F3F74" w:rsidRDefault="003F3F74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725AE">
        <w:rPr>
          <w:rFonts w:ascii="Times New Roman" w:hAnsi="Times New Roman" w:cs="Times New Roman"/>
          <w:b/>
          <w:sz w:val="24"/>
          <w:szCs w:val="24"/>
          <w:lang w:val="pt-BR"/>
        </w:rPr>
        <w:t>Prado</w:t>
      </w:r>
      <w:r w:rsidRPr="00B725A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B725AE">
        <w:rPr>
          <w:rFonts w:ascii="Times New Roman" w:hAnsi="Times New Roman" w:cs="Times New Roman"/>
          <w:b/>
          <w:bCs/>
          <w:sz w:val="24"/>
          <w:szCs w:val="24"/>
          <w:lang w:val="pt-BR"/>
        </w:rPr>
        <w:t>Luiz Carlos Delorme</w:t>
      </w:r>
      <w:r w:rsidRPr="00B725AE">
        <w:rPr>
          <w:rFonts w:ascii="Times New Roman" w:hAnsi="Times New Roman" w:cs="Times New Roman"/>
          <w:sz w:val="24"/>
          <w:szCs w:val="24"/>
          <w:lang w:val="pt-BR"/>
        </w:rPr>
        <w:t xml:space="preserve"> – A Grande Depressão e a Grande Recessão: Uma Comparação das Crises de 1929 e 2008 nos EUA, Econômica, v.13, N.2, </w:t>
      </w:r>
      <w:r w:rsidR="00A540F2">
        <w:rPr>
          <w:rFonts w:ascii="Times New Roman" w:hAnsi="Times New Roman" w:cs="Times New Roman"/>
          <w:sz w:val="24"/>
          <w:szCs w:val="24"/>
          <w:lang w:val="pt-BR"/>
        </w:rPr>
        <w:t>d</w:t>
      </w:r>
      <w:r w:rsidRPr="00B725AE">
        <w:rPr>
          <w:rFonts w:ascii="Times New Roman" w:hAnsi="Times New Roman" w:cs="Times New Roman"/>
          <w:sz w:val="24"/>
          <w:szCs w:val="24"/>
          <w:lang w:val="pt-BR"/>
        </w:rPr>
        <w:t>ezembro 2011, pp.11-44;</w:t>
      </w:r>
    </w:p>
    <w:p w14:paraId="70BAE15E" w14:textId="77777777" w:rsidR="00884F8C" w:rsidRDefault="00884F8C" w:rsidP="00884F8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t>Prasad, Monica</w:t>
      </w:r>
      <w:r w:rsidRPr="00B725AE">
        <w:rPr>
          <w:rFonts w:asciiTheme="majorBidi" w:hAnsiTheme="majorBidi" w:cstheme="majorBidi"/>
          <w:sz w:val="24"/>
          <w:szCs w:val="24"/>
        </w:rPr>
        <w:t xml:space="preserve"> – The Politics of Free Markets: The Rise of Neoliberal Economic Policies in Britain, France, Germany and the United States, the University of Chicago Press, 2006, Introduction, pp.1-41.</w:t>
      </w:r>
    </w:p>
    <w:p w14:paraId="102EA561" w14:textId="2E35E5BA" w:rsidR="00970AB7" w:rsidRDefault="00970AB7" w:rsidP="00970AB7">
      <w:pPr>
        <w:adjustRightInd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70AB7">
        <w:rPr>
          <w:rFonts w:asciiTheme="majorBidi" w:hAnsiTheme="majorBidi" w:cstheme="majorBidi"/>
          <w:b/>
          <w:bCs/>
          <w:sz w:val="24"/>
          <w:szCs w:val="24"/>
        </w:rPr>
        <w:t>R</w:t>
      </w:r>
      <w:r>
        <w:rPr>
          <w:rFonts w:asciiTheme="majorBidi" w:hAnsiTheme="majorBidi" w:cstheme="majorBidi"/>
          <w:b/>
          <w:bCs/>
          <w:sz w:val="24"/>
          <w:szCs w:val="24"/>
        </w:rPr>
        <w:t>owthorn</w:t>
      </w:r>
      <w:r w:rsidRPr="00970AB7">
        <w:rPr>
          <w:rFonts w:asciiTheme="majorBidi" w:hAnsiTheme="majorBidi" w:cstheme="majorBidi"/>
          <w:b/>
          <w:bCs/>
          <w:sz w:val="24"/>
          <w:szCs w:val="24"/>
        </w:rPr>
        <w:t>, B., C</w:t>
      </w:r>
      <w:r>
        <w:rPr>
          <w:rFonts w:asciiTheme="majorBidi" w:hAnsiTheme="majorBidi" w:cstheme="majorBidi"/>
          <w:b/>
          <w:bCs/>
          <w:sz w:val="24"/>
          <w:szCs w:val="24"/>
        </w:rPr>
        <w:t>outts</w:t>
      </w:r>
      <w:r w:rsidRPr="00970AB7">
        <w:rPr>
          <w:rFonts w:asciiTheme="majorBidi" w:hAnsiTheme="majorBidi" w:cstheme="majorBidi"/>
          <w:b/>
          <w:bCs/>
          <w:sz w:val="24"/>
          <w:szCs w:val="24"/>
        </w:rPr>
        <w:t>, K. &amp; G</w:t>
      </w:r>
      <w:r>
        <w:rPr>
          <w:rFonts w:asciiTheme="majorBidi" w:hAnsiTheme="majorBidi" w:cstheme="majorBidi"/>
          <w:b/>
          <w:bCs/>
          <w:sz w:val="24"/>
          <w:szCs w:val="24"/>
        </w:rPr>
        <w:t>lyn</w:t>
      </w:r>
      <w:r w:rsidRPr="00970AB7">
        <w:rPr>
          <w:rFonts w:asciiTheme="majorBidi" w:hAnsiTheme="majorBidi" w:cstheme="majorBidi"/>
          <w:b/>
          <w:bCs/>
          <w:sz w:val="24"/>
          <w:szCs w:val="24"/>
        </w:rPr>
        <w:t xml:space="preserve">, A </w:t>
      </w:r>
      <w:r w:rsidRPr="00243AC9">
        <w:rPr>
          <w:rFonts w:asciiTheme="majorBidi" w:hAnsiTheme="majorBidi" w:cstheme="majorBidi"/>
          <w:sz w:val="24"/>
          <w:szCs w:val="24"/>
        </w:rPr>
        <w:t xml:space="preserve">(2007) Structural change under New Labour. </w:t>
      </w:r>
      <w:r w:rsidRPr="001613FD">
        <w:rPr>
          <w:rFonts w:asciiTheme="majorBidi" w:hAnsiTheme="majorBidi" w:cstheme="majorBidi"/>
          <w:sz w:val="24"/>
          <w:szCs w:val="24"/>
        </w:rPr>
        <w:t>Cambridge Journal of Economics, 31, 845–861.</w:t>
      </w:r>
    </w:p>
    <w:p w14:paraId="7E87889B" w14:textId="77777777" w:rsidR="00A253FC" w:rsidRPr="008C07F8" w:rsidRDefault="00A253FC" w:rsidP="00A253FC">
      <w:pPr>
        <w:rPr>
          <w:rFonts w:ascii="Times New Roman" w:hAnsi="Times New Roman" w:cs="Times New Roman"/>
          <w:sz w:val="24"/>
          <w:szCs w:val="24"/>
        </w:rPr>
      </w:pPr>
      <w:r w:rsidRPr="008C07F8">
        <w:rPr>
          <w:rFonts w:ascii="Times New Roman" w:hAnsi="Times New Roman" w:cs="Times New Roman"/>
          <w:b/>
          <w:bCs/>
          <w:sz w:val="24"/>
          <w:szCs w:val="24"/>
        </w:rPr>
        <w:t>Ruggie</w:t>
      </w:r>
      <w:r w:rsidRPr="008C07F8">
        <w:rPr>
          <w:rFonts w:ascii="Times New Roman" w:hAnsi="Times New Roman" w:cs="Times New Roman"/>
          <w:sz w:val="24"/>
          <w:szCs w:val="24"/>
        </w:rPr>
        <w:t>,  John Gerard  - “International regimes, transactions, and change: embedded liberalism in the postwar economic order”, International Organization / Volume 36 / Issue 02 / March 1982, pp 379 ­ 415, DOI: 10.1017/S0020818300018993, Published online: 22 May 2009</w:t>
      </w:r>
    </w:p>
    <w:p w14:paraId="3ED5E32C" w14:textId="77777777" w:rsidR="004F5545" w:rsidRDefault="004F5545" w:rsidP="004F554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t xml:space="preserve">Schmidt, </w:t>
      </w:r>
      <w:r w:rsidRPr="00DF18C9">
        <w:rPr>
          <w:rFonts w:asciiTheme="majorBidi" w:hAnsiTheme="majorBidi" w:cstheme="majorBidi"/>
          <w:sz w:val="24"/>
          <w:szCs w:val="24"/>
        </w:rPr>
        <w:t>Ingo</w:t>
      </w:r>
      <w:r w:rsidRPr="00B725A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725AE">
        <w:rPr>
          <w:rFonts w:asciiTheme="majorBidi" w:hAnsiTheme="majorBidi" w:cstheme="majorBidi"/>
          <w:sz w:val="24"/>
          <w:szCs w:val="24"/>
        </w:rPr>
        <w:t>- “There Were Alternatives: Lessons from Efforts to Advance Beyond Keynesian and Neoliberal Economic Policies in the 1970s”, em Working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725AE">
        <w:rPr>
          <w:rFonts w:asciiTheme="majorBidi" w:hAnsiTheme="majorBidi" w:cstheme="majorBidi"/>
          <w:sz w:val="24"/>
          <w:szCs w:val="24"/>
        </w:rPr>
        <w:t>USA: The Journal of Labor and Society · 1089-7011 · Volume 14 · December 2011 · pp. 473–498;</w:t>
      </w:r>
    </w:p>
    <w:p w14:paraId="68C1A8A8" w14:textId="08DF87AE" w:rsidR="00DF18C9" w:rsidRDefault="00DF18C9" w:rsidP="004F554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F18C9">
        <w:rPr>
          <w:rFonts w:asciiTheme="majorBidi" w:hAnsiTheme="majorBidi" w:cstheme="majorBidi"/>
          <w:b/>
          <w:bCs/>
          <w:sz w:val="24"/>
          <w:szCs w:val="24"/>
        </w:rPr>
        <w:lastRenderedPageBreak/>
        <w:t>Schulmeister</w:t>
      </w:r>
      <w:r>
        <w:rPr>
          <w:rFonts w:asciiTheme="majorBidi" w:hAnsiTheme="majorBidi" w:cstheme="majorBidi"/>
          <w:sz w:val="24"/>
          <w:szCs w:val="24"/>
        </w:rPr>
        <w:t xml:space="preserve">, Stephan. </w:t>
      </w:r>
      <w:r w:rsidRPr="00DF18C9">
        <w:rPr>
          <w:rFonts w:asciiTheme="majorBidi" w:hAnsiTheme="majorBidi" w:cstheme="majorBidi"/>
          <w:sz w:val="24"/>
          <w:szCs w:val="24"/>
        </w:rPr>
        <w:t>Globalization without global money: the double role of the dollar as national currency and world currency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DF18C9">
        <w:rPr>
          <w:rFonts w:asciiTheme="majorBidi" w:hAnsiTheme="majorBidi" w:cstheme="majorBidi"/>
          <w:sz w:val="24"/>
          <w:szCs w:val="24"/>
        </w:rPr>
        <w:t>Journal of Post Keynesian Economics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DF18C9">
        <w:rPr>
          <w:rFonts w:asciiTheme="majorBidi" w:hAnsiTheme="majorBidi" w:cstheme="majorBidi"/>
          <w:sz w:val="24"/>
          <w:szCs w:val="24"/>
        </w:rPr>
        <w:t>Spring 2000, Vol. 22, No.336</w:t>
      </w:r>
    </w:p>
    <w:p w14:paraId="7651D562" w14:textId="374162BC" w:rsidR="0097077E" w:rsidRPr="0097077E" w:rsidRDefault="0097077E" w:rsidP="0097077E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7077E">
        <w:rPr>
          <w:rFonts w:asciiTheme="majorBidi" w:hAnsiTheme="majorBidi" w:cstheme="majorBidi"/>
          <w:b/>
          <w:bCs/>
          <w:sz w:val="24"/>
          <w:szCs w:val="24"/>
        </w:rPr>
        <w:t xml:space="preserve">Serrano, </w:t>
      </w:r>
      <w:r w:rsidRPr="0097077E">
        <w:rPr>
          <w:rFonts w:asciiTheme="majorBidi" w:hAnsiTheme="majorBidi" w:cstheme="majorBidi"/>
          <w:sz w:val="24"/>
          <w:szCs w:val="24"/>
        </w:rPr>
        <w:t>Franklin. A economia americana, o padrão dólar flexível e a expansão mundial nos 2000. In: FIORI, J.L.; MEDEIROS, C; SERRANO, F. (org.) O Mito do Colapso do Poder Americano. Rio de Janeiro: Record</w:t>
      </w:r>
      <w:r>
        <w:rPr>
          <w:rFonts w:asciiTheme="majorBidi" w:hAnsiTheme="majorBidi" w:cstheme="majorBidi"/>
          <w:sz w:val="24"/>
          <w:szCs w:val="24"/>
        </w:rPr>
        <w:t>, 2008.</w:t>
      </w:r>
    </w:p>
    <w:p w14:paraId="5A113184" w14:textId="77777777" w:rsidR="0097077E" w:rsidRDefault="0097077E" w:rsidP="004F5545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2E78DA24" w14:textId="77777777" w:rsidR="004F5545" w:rsidRPr="008C07F8" w:rsidRDefault="004F5545" w:rsidP="004F5545">
      <w:pPr>
        <w:rPr>
          <w:rFonts w:ascii="Times New Roman" w:hAnsi="Times New Roman" w:cs="Times New Roman"/>
          <w:sz w:val="24"/>
          <w:szCs w:val="24"/>
        </w:rPr>
      </w:pPr>
      <w:r w:rsidRPr="008C07F8">
        <w:rPr>
          <w:rFonts w:ascii="Times New Roman" w:hAnsi="Times New Roman" w:cs="Times New Roman"/>
          <w:b/>
          <w:bCs/>
          <w:sz w:val="24"/>
          <w:szCs w:val="24"/>
        </w:rPr>
        <w:t>Skidelsky</w:t>
      </w:r>
      <w:r w:rsidRPr="008C07F8">
        <w:rPr>
          <w:rFonts w:ascii="Times New Roman" w:hAnsi="Times New Roman" w:cs="Times New Roman"/>
          <w:sz w:val="24"/>
          <w:szCs w:val="24"/>
        </w:rPr>
        <w:t xml:space="preserve">, Robert – </w:t>
      </w:r>
      <w:r w:rsidRPr="008C07F8">
        <w:rPr>
          <w:rFonts w:ascii="Times New Roman" w:hAnsi="Times New Roman" w:cs="Times New Roman"/>
          <w:i/>
          <w:iCs/>
          <w:sz w:val="24"/>
          <w:szCs w:val="24"/>
        </w:rPr>
        <w:t>Money and Government: Past and Future of Economics</w:t>
      </w:r>
      <w:r w:rsidRPr="008C07F8">
        <w:rPr>
          <w:rFonts w:ascii="Times New Roman" w:hAnsi="Times New Roman" w:cs="Times New Roman"/>
          <w:sz w:val="24"/>
          <w:szCs w:val="24"/>
        </w:rPr>
        <w:t>, Chapter 6 (The Keynesian Ascendancy, pp. 137-170, Yale University, 2018</w:t>
      </w:r>
    </w:p>
    <w:p w14:paraId="5ABC2F6B" w14:textId="77777777" w:rsidR="00970AB7" w:rsidRPr="00672ED8" w:rsidRDefault="00970AB7" w:rsidP="00970AB7">
      <w:pPr>
        <w:pStyle w:val="Default"/>
        <w:jc w:val="both"/>
        <w:rPr>
          <w:rFonts w:asciiTheme="majorBidi" w:hAnsiTheme="majorBidi" w:cstheme="majorBidi"/>
        </w:rPr>
      </w:pPr>
      <w:r w:rsidRPr="00550357">
        <w:rPr>
          <w:rFonts w:asciiTheme="majorBidi" w:hAnsiTheme="majorBidi" w:cstheme="majorBidi"/>
          <w:b/>
          <w:bCs/>
          <w:lang w:val="pt-BR"/>
        </w:rPr>
        <w:t>Stiglitz</w:t>
      </w:r>
      <w:r w:rsidRPr="00550357">
        <w:rPr>
          <w:rFonts w:asciiTheme="majorBidi" w:hAnsiTheme="majorBidi" w:cstheme="majorBidi"/>
          <w:lang w:val="pt-BR"/>
        </w:rPr>
        <w:t xml:space="preserve">, Joseph E- </w:t>
      </w:r>
      <w:r w:rsidRPr="00550357">
        <w:rPr>
          <w:rFonts w:asciiTheme="majorBidi" w:hAnsiTheme="majorBidi" w:cstheme="majorBidi"/>
          <w:i/>
          <w:iCs/>
          <w:lang w:val="pt-BR"/>
        </w:rPr>
        <w:t>Os Exuberantes Anos 90: Uma Nova Interpretação da Década mais Próspera da História</w:t>
      </w:r>
      <w:r w:rsidRPr="00550357">
        <w:rPr>
          <w:rFonts w:asciiTheme="majorBidi" w:hAnsiTheme="majorBidi" w:cstheme="majorBidi"/>
          <w:lang w:val="pt-BR"/>
        </w:rPr>
        <w:t xml:space="preserve">, Cia das Letras, 2003, cap.1, pp.33-58 e capt. </w:t>
      </w:r>
      <w:r w:rsidRPr="00672ED8">
        <w:rPr>
          <w:rFonts w:asciiTheme="majorBidi" w:hAnsiTheme="majorBidi" w:cstheme="majorBidi"/>
        </w:rPr>
        <w:t xml:space="preserve">9, pp.220-254. </w:t>
      </w:r>
    </w:p>
    <w:p w14:paraId="03FBB1CD" w14:textId="77777777" w:rsidR="006F005E" w:rsidRPr="00672ED8" w:rsidRDefault="006F005E" w:rsidP="00970AB7">
      <w:pPr>
        <w:pStyle w:val="Default"/>
        <w:jc w:val="both"/>
        <w:rPr>
          <w:rFonts w:asciiTheme="majorBidi" w:hAnsiTheme="majorBidi" w:cstheme="majorBidi"/>
        </w:rPr>
      </w:pPr>
    </w:p>
    <w:p w14:paraId="1266EB68" w14:textId="639D7C11" w:rsidR="006F005E" w:rsidRPr="00D965FC" w:rsidRDefault="006F005E" w:rsidP="006F005E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pt-BR"/>
        </w:rPr>
      </w:pPr>
      <w:r w:rsidRPr="00933DE9">
        <w:rPr>
          <w:rFonts w:ascii="Times New Roman" w:hAnsi="Times New Roman" w:cs="Times New Roman"/>
          <w:b/>
          <w:bCs/>
          <w:iCs/>
          <w:sz w:val="24"/>
          <w:szCs w:val="24"/>
        </w:rPr>
        <w:t>Thompson</w:t>
      </w:r>
      <w:r w:rsidRPr="00933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97077E">
        <w:rPr>
          <w:rFonts w:ascii="Times New Roman" w:hAnsi="Times New Roman" w:cs="Times New Roman"/>
          <w:iCs/>
          <w:sz w:val="24"/>
          <w:szCs w:val="24"/>
        </w:rPr>
        <w:t>H</w:t>
      </w:r>
      <w:r w:rsidR="008510EE" w:rsidRPr="0097077E">
        <w:rPr>
          <w:rFonts w:ascii="Times New Roman" w:hAnsi="Times New Roman" w:cs="Times New Roman"/>
          <w:iCs/>
          <w:sz w:val="24"/>
          <w:szCs w:val="24"/>
        </w:rPr>
        <w:t>elen</w:t>
      </w:r>
      <w:r w:rsidR="008510EE" w:rsidRPr="00933D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933DE9">
        <w:rPr>
          <w:rFonts w:ascii="Times New Roman" w:hAnsi="Times New Roman" w:cs="Times New Roman"/>
          <w:iCs/>
          <w:sz w:val="24"/>
          <w:szCs w:val="24"/>
        </w:rPr>
        <w:t xml:space="preserve">“The Thatcherite Economic Legacy” em Farrall, Stephen e Hay, Colin (ed.) </w:t>
      </w:r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The Legacy of Thatcherism. Oxford: Oxford University Press</w:t>
      </w:r>
      <w:r>
        <w:rPr>
          <w:rFonts w:ascii="Times New Roman" w:hAnsi="Times New Roman" w:cs="Times New Roman"/>
          <w:iCs/>
          <w:sz w:val="24"/>
          <w:szCs w:val="24"/>
          <w:lang w:val="pt-BR"/>
        </w:rPr>
        <w:t>, 2014</w:t>
      </w:r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.</w:t>
      </w:r>
    </w:p>
    <w:p w14:paraId="77D8ACF4" w14:textId="61C425EA" w:rsidR="00005A35" w:rsidRDefault="00005A35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105CFA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Torres Filho, </w:t>
      </w:r>
      <w:r w:rsidRPr="0097077E">
        <w:rPr>
          <w:rFonts w:asciiTheme="majorBidi" w:hAnsiTheme="majorBidi" w:cstheme="majorBidi"/>
          <w:sz w:val="24"/>
          <w:szCs w:val="24"/>
          <w:lang w:val="pt-BR"/>
        </w:rPr>
        <w:t>Ernani Teixeira</w:t>
      </w:r>
      <w:r>
        <w:rPr>
          <w:rFonts w:asciiTheme="majorBidi" w:hAnsiTheme="majorBidi" w:cstheme="majorBidi"/>
          <w:sz w:val="24"/>
          <w:szCs w:val="24"/>
          <w:lang w:val="pt-BR"/>
        </w:rPr>
        <w:t xml:space="preserve"> – Japão; da industrialização tardia à globalização financeira. Em: Fiori, José Luís (org.). Estados e Moedas n</w:t>
      </w:r>
      <w:r w:rsidR="00FC78CA">
        <w:rPr>
          <w:rFonts w:asciiTheme="majorBidi" w:hAnsiTheme="majorBidi" w:cstheme="majorBidi"/>
          <w:sz w:val="24"/>
          <w:szCs w:val="24"/>
          <w:lang w:val="pt-BR"/>
        </w:rPr>
        <w:t>o</w:t>
      </w:r>
      <w:r>
        <w:rPr>
          <w:rFonts w:asciiTheme="majorBidi" w:hAnsiTheme="majorBidi" w:cstheme="majorBidi"/>
          <w:sz w:val="24"/>
          <w:szCs w:val="24"/>
          <w:lang w:val="pt-BR"/>
        </w:rPr>
        <w:t xml:space="preserve"> desenvolvimento das nações. </w:t>
      </w:r>
      <w:r w:rsidRPr="001613FD">
        <w:rPr>
          <w:rFonts w:asciiTheme="majorBidi" w:hAnsiTheme="majorBidi" w:cstheme="majorBidi"/>
          <w:sz w:val="24"/>
          <w:szCs w:val="24"/>
        </w:rPr>
        <w:t>Petrópolis: Vozes, 1999, p. 223-249.</w:t>
      </w:r>
    </w:p>
    <w:p w14:paraId="6E911858" w14:textId="3ABED25E" w:rsidR="00DF18C9" w:rsidRPr="00DF18C9" w:rsidRDefault="00DF18C9" w:rsidP="00105CFA">
      <w:pPr>
        <w:tabs>
          <w:tab w:val="left" w:pos="1985"/>
        </w:tabs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DF18C9">
        <w:rPr>
          <w:rFonts w:asciiTheme="majorBidi" w:hAnsiTheme="majorBidi" w:cstheme="majorBidi"/>
          <w:b/>
          <w:bCs/>
          <w:sz w:val="24"/>
          <w:szCs w:val="24"/>
          <w:lang w:val="pt-BR"/>
        </w:rPr>
        <w:t>T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orres Filho</w:t>
      </w:r>
      <w:r w:rsidRPr="00DF18C9">
        <w:rPr>
          <w:rFonts w:asciiTheme="majorBidi" w:hAnsiTheme="majorBidi" w:cstheme="majorBidi"/>
          <w:sz w:val="24"/>
          <w:szCs w:val="24"/>
          <w:lang w:val="pt-BR"/>
        </w:rPr>
        <w:t>, E. T.;</w:t>
      </w:r>
      <w:r w:rsidRPr="00DF18C9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 Pose</w:t>
      </w:r>
      <w:r w:rsidRPr="00DF18C9">
        <w:rPr>
          <w:rFonts w:asciiTheme="majorBidi" w:hAnsiTheme="majorBidi" w:cstheme="majorBidi"/>
          <w:sz w:val="24"/>
          <w:szCs w:val="24"/>
          <w:lang w:val="pt-BR"/>
        </w:rPr>
        <w:t>, M. A internacionalização da moeda chinesa: disputa hegemônica ou estratégia defensiva?</w:t>
      </w:r>
      <w:r w:rsidR="0085630E">
        <w:rPr>
          <w:rFonts w:asciiTheme="majorBidi" w:hAnsiTheme="majorBidi" w:cstheme="majorBidi"/>
          <w:sz w:val="24"/>
          <w:szCs w:val="24"/>
          <w:lang w:val="pt-BR"/>
        </w:rPr>
        <w:t xml:space="preserve"> Revista de Economia Contemporânea, 22(1), 2018.</w:t>
      </w:r>
    </w:p>
    <w:p w14:paraId="29B492C4" w14:textId="77777777" w:rsidR="00DF18C9" w:rsidRDefault="00DF18C9" w:rsidP="00105CFA">
      <w:pPr>
        <w:tabs>
          <w:tab w:val="left" w:pos="1985"/>
        </w:tabs>
        <w:spacing w:after="12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</w:p>
    <w:p w14:paraId="034C6EA0" w14:textId="4F5FCFD2" w:rsidR="00A33D22" w:rsidRDefault="00A33D22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D22">
        <w:rPr>
          <w:rFonts w:ascii="Times New Roman" w:hAnsi="Times New Roman" w:cs="Times New Roman"/>
          <w:b/>
          <w:sz w:val="24"/>
          <w:szCs w:val="24"/>
        </w:rPr>
        <w:t xml:space="preserve">Tooze, Adam </w:t>
      </w:r>
      <w:r w:rsidRPr="00A33D22">
        <w:rPr>
          <w:rFonts w:ascii="Times New Roman" w:hAnsi="Times New Roman" w:cs="Times New Roman"/>
          <w:bCs/>
          <w:sz w:val="24"/>
          <w:szCs w:val="24"/>
        </w:rPr>
        <w:t>– Crash</w:t>
      </w:r>
      <w:r w:rsidR="004873A5">
        <w:rPr>
          <w:rFonts w:ascii="Times New Roman" w:hAnsi="Times New Roman" w:cs="Times New Roman"/>
          <w:bCs/>
          <w:sz w:val="24"/>
          <w:szCs w:val="24"/>
        </w:rPr>
        <w:t>ed:</w:t>
      </w:r>
      <w:r w:rsidRPr="00A33D22">
        <w:rPr>
          <w:rFonts w:ascii="Times New Roman" w:hAnsi="Times New Roman" w:cs="Times New Roman"/>
          <w:bCs/>
          <w:sz w:val="24"/>
          <w:szCs w:val="24"/>
        </w:rPr>
        <w:t xml:space="preserve"> How a Decade of Financial Crisis Changed the World, Peguin Books, 2018, Part I.</w:t>
      </w:r>
    </w:p>
    <w:p w14:paraId="4440009B" w14:textId="77777777" w:rsidR="004C18F5" w:rsidRDefault="004C18F5" w:rsidP="004C18F5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DE9">
        <w:rPr>
          <w:rFonts w:ascii="Times New Roman" w:hAnsi="Times New Roman" w:cs="Times New Roman"/>
          <w:b/>
          <w:sz w:val="24"/>
          <w:szCs w:val="24"/>
          <w:lang w:val="pt-BR"/>
        </w:rPr>
        <w:t xml:space="preserve">Tooze, Adam </w:t>
      </w:r>
      <w:r w:rsidRPr="00933DE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– Portas fechadas: Como a Covid abalou a economia mundial. </w:t>
      </w:r>
      <w:r>
        <w:rPr>
          <w:rFonts w:ascii="Times New Roman" w:hAnsi="Times New Roman" w:cs="Times New Roman"/>
          <w:bCs/>
          <w:sz w:val="24"/>
          <w:szCs w:val="24"/>
        </w:rPr>
        <w:t>Editora Todavia</w:t>
      </w:r>
      <w:r w:rsidRPr="00A33D22">
        <w:rPr>
          <w:rFonts w:ascii="Times New Roman" w:hAnsi="Times New Roman" w:cs="Times New Roman"/>
          <w:bCs/>
          <w:sz w:val="24"/>
          <w:szCs w:val="24"/>
        </w:rPr>
        <w:t>, 20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A33D22">
        <w:rPr>
          <w:rFonts w:ascii="Times New Roman" w:hAnsi="Times New Roman" w:cs="Times New Roman"/>
          <w:bCs/>
          <w:sz w:val="24"/>
          <w:szCs w:val="24"/>
        </w:rPr>
        <w:t>1.</w:t>
      </w:r>
    </w:p>
    <w:p w14:paraId="6EE0DF45" w14:textId="37FCDE4B" w:rsidR="000C78D7" w:rsidRPr="00105CFA" w:rsidRDefault="000C78D7" w:rsidP="00105CF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CFA">
        <w:rPr>
          <w:rFonts w:ascii="Times New Roman" w:hAnsi="Times New Roman" w:cs="Times New Roman"/>
          <w:b/>
          <w:sz w:val="24"/>
          <w:szCs w:val="24"/>
        </w:rPr>
        <w:t>Turner, Adair</w:t>
      </w: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105CFA">
        <w:rPr>
          <w:rFonts w:ascii="Times New Roman" w:hAnsi="Times New Roman" w:cs="Times New Roman"/>
          <w:bCs/>
          <w:sz w:val="24"/>
          <w:szCs w:val="24"/>
        </w:rPr>
        <w:t xml:space="preserve"> Between Debt and the Devil. Money, Credit and Fixing Global Finance. Princeton: Princeton University Press</w:t>
      </w:r>
      <w:r>
        <w:rPr>
          <w:rFonts w:ascii="Times New Roman" w:hAnsi="Times New Roman" w:cs="Times New Roman"/>
          <w:bCs/>
          <w:sz w:val="24"/>
          <w:szCs w:val="24"/>
        </w:rPr>
        <w:t>, 2016</w:t>
      </w:r>
      <w:r w:rsidRPr="00105CF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0CBEFE" w14:textId="411761C2" w:rsidR="0098136C" w:rsidRDefault="0098136C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CFA">
        <w:rPr>
          <w:rFonts w:ascii="Times New Roman" w:hAnsi="Times New Roman" w:cs="Times New Roman"/>
          <w:b/>
          <w:sz w:val="24"/>
          <w:szCs w:val="24"/>
        </w:rPr>
        <w:t>USA – Financial Crisis Inquiry Report</w:t>
      </w:r>
      <w:r w:rsidRPr="00105CFA">
        <w:rPr>
          <w:rFonts w:ascii="Times New Roman" w:hAnsi="Times New Roman" w:cs="Times New Roman"/>
          <w:sz w:val="24"/>
          <w:szCs w:val="24"/>
        </w:rPr>
        <w:t xml:space="preserve"> – </w:t>
      </w:r>
      <w:r w:rsidRPr="00105CFA">
        <w:rPr>
          <w:rFonts w:ascii="Times New Roman" w:hAnsi="Times New Roman" w:cs="Times New Roman"/>
          <w:i/>
          <w:sz w:val="24"/>
          <w:szCs w:val="24"/>
        </w:rPr>
        <w:t>Final Report of the National Commission on the Causes of the Financial and Economic Crisis in the United States</w:t>
      </w:r>
      <w:r w:rsidRPr="00105CFA">
        <w:rPr>
          <w:rFonts w:ascii="Times New Roman" w:hAnsi="Times New Roman" w:cs="Times New Roman"/>
          <w:sz w:val="24"/>
          <w:szCs w:val="24"/>
        </w:rPr>
        <w:t>, Public Affairs, 2011</w:t>
      </w:r>
    </w:p>
    <w:p w14:paraId="5E0F0134" w14:textId="77777777" w:rsidR="00B10B2E" w:rsidRPr="00933DE9" w:rsidRDefault="00B10B2E" w:rsidP="00B10B2E">
      <w:pPr>
        <w:pStyle w:val="Default"/>
        <w:spacing w:after="80"/>
        <w:rPr>
          <w:color w:val="auto"/>
        </w:rPr>
      </w:pPr>
      <w:r w:rsidRPr="00933DE9">
        <w:rPr>
          <w:b/>
          <w:bCs/>
          <w:color w:val="auto"/>
        </w:rPr>
        <w:t>Van Brabant</w:t>
      </w:r>
      <w:r w:rsidRPr="00933DE9">
        <w:rPr>
          <w:color w:val="auto"/>
        </w:rPr>
        <w:t>, Jozef, M – “The Disequilibrium School and the Shortage Economy”, em The Journal of Economic Perspectives, Vol. 4, No. 2 (Spring, 1990), pp. 157-175;</w:t>
      </w:r>
    </w:p>
    <w:p w14:paraId="581F2B5C" w14:textId="021C9939" w:rsidR="009844E7" w:rsidRDefault="009844E7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4E7">
        <w:rPr>
          <w:rFonts w:ascii="Times New Roman" w:hAnsi="Times New Roman" w:cs="Times New Roman"/>
          <w:b/>
          <w:sz w:val="24"/>
          <w:szCs w:val="24"/>
        </w:rPr>
        <w:t>Wade, Robert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3A5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3A5">
        <w:rPr>
          <w:rFonts w:ascii="Times New Roman" w:hAnsi="Times New Roman" w:cs="Times New Roman"/>
          <w:bCs/>
          <w:sz w:val="24"/>
          <w:szCs w:val="24"/>
        </w:rPr>
        <w:t>From ‘Miracle’ to ‘Cron</w:t>
      </w:r>
      <w:r w:rsidR="006450F1">
        <w:rPr>
          <w:rFonts w:ascii="Times New Roman" w:hAnsi="Times New Roman" w:cs="Times New Roman"/>
          <w:bCs/>
          <w:sz w:val="24"/>
          <w:szCs w:val="24"/>
        </w:rPr>
        <w:t>y</w:t>
      </w:r>
      <w:r w:rsidR="004873A5">
        <w:rPr>
          <w:rFonts w:ascii="Times New Roman" w:hAnsi="Times New Roman" w:cs="Times New Roman"/>
          <w:bCs/>
          <w:sz w:val="24"/>
          <w:szCs w:val="24"/>
        </w:rPr>
        <w:t>ism’; Explaining the Great Asian Slump. In: Chang, Ha-Joon; Palma, Gabriel and D.Hugh Whittaker(ed.) . “Financial Liberalization and the Asian Crisis”. New York: Palgrave MacMillan, 2001.</w:t>
      </w:r>
    </w:p>
    <w:p w14:paraId="5CECAC29" w14:textId="77777777" w:rsidR="006F005E" w:rsidRPr="00933DE9" w:rsidRDefault="006F005E" w:rsidP="006F005E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iCs/>
          <w:sz w:val="24"/>
          <w:szCs w:val="24"/>
        </w:rPr>
        <w:t>Williamson</w:t>
      </w:r>
      <w:r w:rsidRPr="00933DE9">
        <w:rPr>
          <w:rFonts w:ascii="Times New Roman" w:hAnsi="Times New Roman" w:cs="Times New Roman"/>
          <w:iCs/>
          <w:sz w:val="24"/>
          <w:szCs w:val="24"/>
        </w:rPr>
        <w:t xml:space="preserve">, John. “What Washington means by Policy Reform” em Williamson, John (ed.) </w:t>
      </w:r>
      <w:r w:rsidRPr="00672ED8">
        <w:rPr>
          <w:rFonts w:ascii="Times New Roman" w:hAnsi="Times New Roman" w:cs="Times New Roman"/>
          <w:iCs/>
          <w:sz w:val="24"/>
          <w:szCs w:val="24"/>
        </w:rPr>
        <w:t xml:space="preserve">Latin American Adjustment: How Much Has Happened? </w:t>
      </w:r>
      <w:r w:rsidRPr="00933DE9">
        <w:rPr>
          <w:rFonts w:ascii="Times New Roman" w:hAnsi="Times New Roman" w:cs="Times New Roman"/>
          <w:iCs/>
          <w:sz w:val="24"/>
          <w:szCs w:val="24"/>
        </w:rPr>
        <w:t>Washingtin DC. : Institute fo International Economics, 1990, pp.7-21.</w:t>
      </w:r>
    </w:p>
    <w:p w14:paraId="420B1A1A" w14:textId="77777777" w:rsidR="006F005E" w:rsidRDefault="006F005E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344FDF" w14:textId="334E4554" w:rsidR="001540F6" w:rsidRDefault="001540F6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lastRenderedPageBreak/>
        <w:t>Williamson, John</w:t>
      </w:r>
      <w:r w:rsidRPr="00B725AE">
        <w:rPr>
          <w:rFonts w:asciiTheme="majorBidi" w:hAnsiTheme="majorBidi" w:cstheme="majorBidi"/>
          <w:sz w:val="24"/>
          <w:szCs w:val="24"/>
        </w:rPr>
        <w:t xml:space="preserve"> - A Short History of the Washington Consensus, Paper commissioned by Fundación CIDOB for a conference “From the Washington Consensus towards a new Global Governance,” Barcelona, September 24–25, 2004</w:t>
      </w:r>
      <w:r w:rsidR="002F2D26" w:rsidRPr="00B725AE">
        <w:rPr>
          <w:rFonts w:asciiTheme="majorBidi" w:hAnsiTheme="majorBidi" w:cstheme="majorBidi"/>
          <w:sz w:val="24"/>
          <w:szCs w:val="24"/>
        </w:rPr>
        <w:t>.</w:t>
      </w:r>
    </w:p>
    <w:p w14:paraId="10CD22AC" w14:textId="77777777" w:rsidR="00B10B2E" w:rsidRPr="00933DE9" w:rsidRDefault="00B10B2E" w:rsidP="00B10B2E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sz w:val="24"/>
          <w:szCs w:val="24"/>
        </w:rPr>
        <w:t>Zubok</w:t>
      </w:r>
      <w:r w:rsidRPr="00933DE9">
        <w:rPr>
          <w:rFonts w:ascii="Times New Roman" w:hAnsi="Times New Roman" w:cs="Times New Roman"/>
          <w:sz w:val="24"/>
          <w:szCs w:val="24"/>
        </w:rPr>
        <w:t>, Vladislau M. – “Unwrapping an Enigma: Soviet Elites, Gorbachev and the End of Cold War” em Pons, Silvio &amp; Romero, Federico, Reinterpeting the End of the Cold War: Issues, Interpretation, Periodization,  Frank Cass London &amp; Routledge, New York, 2005.</w:t>
      </w:r>
    </w:p>
    <w:sectPr w:rsidR="00B10B2E" w:rsidRPr="00933DE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7AAA3" w14:textId="77777777" w:rsidR="00395A40" w:rsidRDefault="00395A40" w:rsidP="00550357">
      <w:pPr>
        <w:spacing w:after="0" w:line="240" w:lineRule="auto"/>
      </w:pPr>
      <w:r>
        <w:separator/>
      </w:r>
    </w:p>
  </w:endnote>
  <w:endnote w:type="continuationSeparator" w:id="0">
    <w:p w14:paraId="198EEC57" w14:textId="77777777" w:rsidR="00395A40" w:rsidRDefault="00395A40" w:rsidP="0055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4931354"/>
      <w:docPartObj>
        <w:docPartGallery w:val="Page Numbers (Bottom of Page)"/>
        <w:docPartUnique/>
      </w:docPartObj>
    </w:sdtPr>
    <w:sdtEndPr/>
    <w:sdtContent>
      <w:p w14:paraId="0A219113" w14:textId="286A2180" w:rsidR="0002484A" w:rsidRDefault="0002484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6B3868BB" w14:textId="77777777" w:rsidR="0044051E" w:rsidRDefault="004405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94D3B" w14:textId="77777777" w:rsidR="00395A40" w:rsidRDefault="00395A40" w:rsidP="00550357">
      <w:pPr>
        <w:spacing w:after="0" w:line="240" w:lineRule="auto"/>
      </w:pPr>
      <w:r>
        <w:separator/>
      </w:r>
    </w:p>
  </w:footnote>
  <w:footnote w:type="continuationSeparator" w:id="0">
    <w:p w14:paraId="3C1C5CAF" w14:textId="77777777" w:rsidR="00395A40" w:rsidRDefault="00395A40" w:rsidP="00550357">
      <w:pPr>
        <w:spacing w:after="0" w:line="240" w:lineRule="auto"/>
      </w:pPr>
      <w:r>
        <w:continuationSeparator/>
      </w:r>
    </w:p>
  </w:footnote>
  <w:footnote w:id="1">
    <w:p w14:paraId="221E616F" w14:textId="532F2785" w:rsidR="000C5436" w:rsidRPr="000C5436" w:rsidRDefault="000C5436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0C5436">
        <w:rPr>
          <w:lang w:val="pt-BR"/>
        </w:rPr>
        <w:t xml:space="preserve"> </w:t>
      </w:r>
      <w:r>
        <w:rPr>
          <w:lang w:val="pt-BR"/>
        </w:rPr>
        <w:t>-</w:t>
      </w:r>
      <w:r w:rsidRPr="000C5436">
        <w:rPr>
          <w:rFonts w:asciiTheme="majorBidi" w:hAnsiTheme="majorBidi" w:cstheme="majorBidi"/>
          <w:sz w:val="24"/>
          <w:szCs w:val="24"/>
          <w:lang w:val="pt-BR"/>
        </w:rPr>
        <w:t>As referências abaixo são provisórias e as leituras recomendadas serão divulgadas no início do curso. A carga de leitura esperada é de dois artigos ou capítulos de livros (cerca de 60 a 80 páginas) por semana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932CF"/>
    <w:multiLevelType w:val="hybridMultilevel"/>
    <w:tmpl w:val="CB260728"/>
    <w:lvl w:ilvl="0" w:tplc="85C0946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459AE"/>
    <w:multiLevelType w:val="hybridMultilevel"/>
    <w:tmpl w:val="3AB238CE"/>
    <w:lvl w:ilvl="0" w:tplc="182E1A7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E47A0"/>
    <w:multiLevelType w:val="hybridMultilevel"/>
    <w:tmpl w:val="0D84C816"/>
    <w:lvl w:ilvl="0" w:tplc="7E9A7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50005"/>
    <w:multiLevelType w:val="multilevel"/>
    <w:tmpl w:val="0002AE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6075992"/>
    <w:multiLevelType w:val="hybridMultilevel"/>
    <w:tmpl w:val="C486F714"/>
    <w:lvl w:ilvl="0" w:tplc="22A44C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896299">
    <w:abstractNumId w:val="2"/>
  </w:num>
  <w:num w:numId="2" w16cid:durableId="983196195">
    <w:abstractNumId w:val="1"/>
  </w:num>
  <w:num w:numId="3" w16cid:durableId="51731369">
    <w:abstractNumId w:val="3"/>
  </w:num>
  <w:num w:numId="4" w16cid:durableId="1367683163">
    <w:abstractNumId w:val="4"/>
  </w:num>
  <w:num w:numId="5" w16cid:durableId="143539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88"/>
    <w:rsid w:val="000003CC"/>
    <w:rsid w:val="0000458A"/>
    <w:rsid w:val="0000475A"/>
    <w:rsid w:val="00004C7B"/>
    <w:rsid w:val="00005A35"/>
    <w:rsid w:val="00011CB1"/>
    <w:rsid w:val="00011D6F"/>
    <w:rsid w:val="00011FBF"/>
    <w:rsid w:val="00013BB5"/>
    <w:rsid w:val="00016479"/>
    <w:rsid w:val="000164F2"/>
    <w:rsid w:val="0002484A"/>
    <w:rsid w:val="000353C5"/>
    <w:rsid w:val="000408A1"/>
    <w:rsid w:val="000461AF"/>
    <w:rsid w:val="00056FC9"/>
    <w:rsid w:val="000601B7"/>
    <w:rsid w:val="00060E8F"/>
    <w:rsid w:val="00063A8D"/>
    <w:rsid w:val="000764D6"/>
    <w:rsid w:val="00081A62"/>
    <w:rsid w:val="00086DBB"/>
    <w:rsid w:val="00090D6A"/>
    <w:rsid w:val="00091193"/>
    <w:rsid w:val="000917A8"/>
    <w:rsid w:val="000950C5"/>
    <w:rsid w:val="000A12C0"/>
    <w:rsid w:val="000B0282"/>
    <w:rsid w:val="000B2955"/>
    <w:rsid w:val="000B43DF"/>
    <w:rsid w:val="000B4C88"/>
    <w:rsid w:val="000C5436"/>
    <w:rsid w:val="000C61A7"/>
    <w:rsid w:val="000C78D7"/>
    <w:rsid w:val="000D1382"/>
    <w:rsid w:val="000D759F"/>
    <w:rsid w:val="000E5EDB"/>
    <w:rsid w:val="000E6B1A"/>
    <w:rsid w:val="000F4E74"/>
    <w:rsid w:val="00101FD4"/>
    <w:rsid w:val="00105CFA"/>
    <w:rsid w:val="001071D8"/>
    <w:rsid w:val="00110B65"/>
    <w:rsid w:val="00115C4B"/>
    <w:rsid w:val="00125764"/>
    <w:rsid w:val="00127C94"/>
    <w:rsid w:val="00127D47"/>
    <w:rsid w:val="001311C9"/>
    <w:rsid w:val="0013227C"/>
    <w:rsid w:val="00145AE8"/>
    <w:rsid w:val="001500BE"/>
    <w:rsid w:val="001540F6"/>
    <w:rsid w:val="001555FA"/>
    <w:rsid w:val="00160AB3"/>
    <w:rsid w:val="00160C6D"/>
    <w:rsid w:val="001613FD"/>
    <w:rsid w:val="00163B13"/>
    <w:rsid w:val="001660B2"/>
    <w:rsid w:val="00166F47"/>
    <w:rsid w:val="00167B6A"/>
    <w:rsid w:val="001756D4"/>
    <w:rsid w:val="00182F5B"/>
    <w:rsid w:val="001847F2"/>
    <w:rsid w:val="00197598"/>
    <w:rsid w:val="001A55AB"/>
    <w:rsid w:val="001A7D2F"/>
    <w:rsid w:val="001B33F6"/>
    <w:rsid w:val="001B3AAD"/>
    <w:rsid w:val="001C3FFC"/>
    <w:rsid w:val="001D2209"/>
    <w:rsid w:val="001D299F"/>
    <w:rsid w:val="001E17F3"/>
    <w:rsid w:val="001E38B2"/>
    <w:rsid w:val="001E5B8A"/>
    <w:rsid w:val="0020037A"/>
    <w:rsid w:val="00205375"/>
    <w:rsid w:val="00217335"/>
    <w:rsid w:val="00223176"/>
    <w:rsid w:val="0022571C"/>
    <w:rsid w:val="002265F3"/>
    <w:rsid w:val="0024658A"/>
    <w:rsid w:val="00253671"/>
    <w:rsid w:val="00255066"/>
    <w:rsid w:val="002570C6"/>
    <w:rsid w:val="00262D2D"/>
    <w:rsid w:val="00263988"/>
    <w:rsid w:val="002649F8"/>
    <w:rsid w:val="00264C30"/>
    <w:rsid w:val="002664FD"/>
    <w:rsid w:val="0026716F"/>
    <w:rsid w:val="00281128"/>
    <w:rsid w:val="002836A4"/>
    <w:rsid w:val="0028503F"/>
    <w:rsid w:val="0029363A"/>
    <w:rsid w:val="00293AA7"/>
    <w:rsid w:val="002A3D88"/>
    <w:rsid w:val="002B023D"/>
    <w:rsid w:val="002B11D6"/>
    <w:rsid w:val="002B64C2"/>
    <w:rsid w:val="002C1A3E"/>
    <w:rsid w:val="002D1E38"/>
    <w:rsid w:val="002F2149"/>
    <w:rsid w:val="002F2D26"/>
    <w:rsid w:val="00305060"/>
    <w:rsid w:val="003060BA"/>
    <w:rsid w:val="00313887"/>
    <w:rsid w:val="003152A6"/>
    <w:rsid w:val="003255EE"/>
    <w:rsid w:val="00326A83"/>
    <w:rsid w:val="003304C6"/>
    <w:rsid w:val="0033324D"/>
    <w:rsid w:val="00333C83"/>
    <w:rsid w:val="00335391"/>
    <w:rsid w:val="00342FB9"/>
    <w:rsid w:val="00357BB5"/>
    <w:rsid w:val="00366215"/>
    <w:rsid w:val="0036688F"/>
    <w:rsid w:val="003679A7"/>
    <w:rsid w:val="003833BF"/>
    <w:rsid w:val="0038444C"/>
    <w:rsid w:val="003876A6"/>
    <w:rsid w:val="00390F66"/>
    <w:rsid w:val="00395A40"/>
    <w:rsid w:val="003B63DA"/>
    <w:rsid w:val="003B7D98"/>
    <w:rsid w:val="003C5ECC"/>
    <w:rsid w:val="003D406E"/>
    <w:rsid w:val="003E03CB"/>
    <w:rsid w:val="003E1742"/>
    <w:rsid w:val="003F321F"/>
    <w:rsid w:val="003F32A1"/>
    <w:rsid w:val="003F3F74"/>
    <w:rsid w:val="0040028A"/>
    <w:rsid w:val="00402082"/>
    <w:rsid w:val="00402EB0"/>
    <w:rsid w:val="00404688"/>
    <w:rsid w:val="00415799"/>
    <w:rsid w:val="00420314"/>
    <w:rsid w:val="00424941"/>
    <w:rsid w:val="00425BB2"/>
    <w:rsid w:val="00426B8E"/>
    <w:rsid w:val="00433868"/>
    <w:rsid w:val="00433A96"/>
    <w:rsid w:val="0044051E"/>
    <w:rsid w:val="00442FAA"/>
    <w:rsid w:val="00446061"/>
    <w:rsid w:val="0044653B"/>
    <w:rsid w:val="00450153"/>
    <w:rsid w:val="004542BC"/>
    <w:rsid w:val="00454AE4"/>
    <w:rsid w:val="00457EA2"/>
    <w:rsid w:val="0046014D"/>
    <w:rsid w:val="004734B7"/>
    <w:rsid w:val="004749A2"/>
    <w:rsid w:val="00474B3B"/>
    <w:rsid w:val="0047678C"/>
    <w:rsid w:val="004873A5"/>
    <w:rsid w:val="00492635"/>
    <w:rsid w:val="0049696D"/>
    <w:rsid w:val="00496F59"/>
    <w:rsid w:val="004A1457"/>
    <w:rsid w:val="004A3918"/>
    <w:rsid w:val="004A74F2"/>
    <w:rsid w:val="004B6944"/>
    <w:rsid w:val="004C18F5"/>
    <w:rsid w:val="004C46AE"/>
    <w:rsid w:val="004C547B"/>
    <w:rsid w:val="004D31FB"/>
    <w:rsid w:val="004D450E"/>
    <w:rsid w:val="004F5545"/>
    <w:rsid w:val="00501974"/>
    <w:rsid w:val="0050595E"/>
    <w:rsid w:val="00513F69"/>
    <w:rsid w:val="0051796F"/>
    <w:rsid w:val="00517EA5"/>
    <w:rsid w:val="00537E87"/>
    <w:rsid w:val="005441C9"/>
    <w:rsid w:val="00547B0E"/>
    <w:rsid w:val="00550357"/>
    <w:rsid w:val="00561CF7"/>
    <w:rsid w:val="00575A07"/>
    <w:rsid w:val="00577A34"/>
    <w:rsid w:val="00587298"/>
    <w:rsid w:val="00593A3A"/>
    <w:rsid w:val="00596DAD"/>
    <w:rsid w:val="005A048D"/>
    <w:rsid w:val="005A05FD"/>
    <w:rsid w:val="005A25AA"/>
    <w:rsid w:val="005C16C5"/>
    <w:rsid w:val="005C17D8"/>
    <w:rsid w:val="005C4654"/>
    <w:rsid w:val="005C651E"/>
    <w:rsid w:val="005D054F"/>
    <w:rsid w:val="005D1C7E"/>
    <w:rsid w:val="005D4CDC"/>
    <w:rsid w:val="005E1350"/>
    <w:rsid w:val="005E43CA"/>
    <w:rsid w:val="005E60A7"/>
    <w:rsid w:val="005E779D"/>
    <w:rsid w:val="005F6152"/>
    <w:rsid w:val="0060447F"/>
    <w:rsid w:val="00613B79"/>
    <w:rsid w:val="0061536D"/>
    <w:rsid w:val="00620692"/>
    <w:rsid w:val="00634676"/>
    <w:rsid w:val="006369FE"/>
    <w:rsid w:val="0063713C"/>
    <w:rsid w:val="006450F1"/>
    <w:rsid w:val="00652245"/>
    <w:rsid w:val="00654D1A"/>
    <w:rsid w:val="0067036C"/>
    <w:rsid w:val="00672ED8"/>
    <w:rsid w:val="00683158"/>
    <w:rsid w:val="00686B0D"/>
    <w:rsid w:val="006870ED"/>
    <w:rsid w:val="00687401"/>
    <w:rsid w:val="006A60D3"/>
    <w:rsid w:val="006A792C"/>
    <w:rsid w:val="006B43FF"/>
    <w:rsid w:val="006C4C29"/>
    <w:rsid w:val="006C6E2C"/>
    <w:rsid w:val="006D13B4"/>
    <w:rsid w:val="006F005E"/>
    <w:rsid w:val="006F15F2"/>
    <w:rsid w:val="006F776C"/>
    <w:rsid w:val="00702ED8"/>
    <w:rsid w:val="007059FF"/>
    <w:rsid w:val="00712F63"/>
    <w:rsid w:val="007174AB"/>
    <w:rsid w:val="00724300"/>
    <w:rsid w:val="00732846"/>
    <w:rsid w:val="00733937"/>
    <w:rsid w:val="00746136"/>
    <w:rsid w:val="00757B20"/>
    <w:rsid w:val="00762EB7"/>
    <w:rsid w:val="00763D01"/>
    <w:rsid w:val="00766367"/>
    <w:rsid w:val="00767EEE"/>
    <w:rsid w:val="00775453"/>
    <w:rsid w:val="00786AB0"/>
    <w:rsid w:val="007951C3"/>
    <w:rsid w:val="0079633B"/>
    <w:rsid w:val="007A1A4E"/>
    <w:rsid w:val="007C204A"/>
    <w:rsid w:val="007C357C"/>
    <w:rsid w:val="007C3DB8"/>
    <w:rsid w:val="007D00C3"/>
    <w:rsid w:val="007D42F6"/>
    <w:rsid w:val="007D5950"/>
    <w:rsid w:val="007E4BDD"/>
    <w:rsid w:val="007E656C"/>
    <w:rsid w:val="007F042D"/>
    <w:rsid w:val="007F04CD"/>
    <w:rsid w:val="007F2915"/>
    <w:rsid w:val="008007B6"/>
    <w:rsid w:val="008042F5"/>
    <w:rsid w:val="0080503B"/>
    <w:rsid w:val="00810CA9"/>
    <w:rsid w:val="00811EF9"/>
    <w:rsid w:val="00812BFA"/>
    <w:rsid w:val="00823585"/>
    <w:rsid w:val="00826345"/>
    <w:rsid w:val="00831F32"/>
    <w:rsid w:val="00841F76"/>
    <w:rsid w:val="008505EA"/>
    <w:rsid w:val="008510EE"/>
    <w:rsid w:val="00852AC0"/>
    <w:rsid w:val="0085630E"/>
    <w:rsid w:val="00862CD1"/>
    <w:rsid w:val="00864036"/>
    <w:rsid w:val="00866137"/>
    <w:rsid w:val="00866EEF"/>
    <w:rsid w:val="00870689"/>
    <w:rsid w:val="00871AE9"/>
    <w:rsid w:val="00884F8C"/>
    <w:rsid w:val="00894AA1"/>
    <w:rsid w:val="00896465"/>
    <w:rsid w:val="008A21EA"/>
    <w:rsid w:val="008A2332"/>
    <w:rsid w:val="008A501D"/>
    <w:rsid w:val="008A6BC3"/>
    <w:rsid w:val="008B1950"/>
    <w:rsid w:val="008B3F7A"/>
    <w:rsid w:val="008C095A"/>
    <w:rsid w:val="008C7397"/>
    <w:rsid w:val="008D1C09"/>
    <w:rsid w:val="008D2426"/>
    <w:rsid w:val="008E4199"/>
    <w:rsid w:val="008E61EB"/>
    <w:rsid w:val="008E701E"/>
    <w:rsid w:val="008E773B"/>
    <w:rsid w:val="009042C9"/>
    <w:rsid w:val="009165BB"/>
    <w:rsid w:val="0092713D"/>
    <w:rsid w:val="009319C6"/>
    <w:rsid w:val="00933DE9"/>
    <w:rsid w:val="0093589C"/>
    <w:rsid w:val="00942780"/>
    <w:rsid w:val="0094765C"/>
    <w:rsid w:val="009558A3"/>
    <w:rsid w:val="00963B5A"/>
    <w:rsid w:val="0097077E"/>
    <w:rsid w:val="00970AB7"/>
    <w:rsid w:val="00970C00"/>
    <w:rsid w:val="0098136C"/>
    <w:rsid w:val="00983153"/>
    <w:rsid w:val="0098417E"/>
    <w:rsid w:val="009844E7"/>
    <w:rsid w:val="00986BBF"/>
    <w:rsid w:val="009A0CB9"/>
    <w:rsid w:val="009B2EAB"/>
    <w:rsid w:val="009C4A84"/>
    <w:rsid w:val="009C6E25"/>
    <w:rsid w:val="009E5032"/>
    <w:rsid w:val="009E7624"/>
    <w:rsid w:val="009E7C8E"/>
    <w:rsid w:val="009F39B1"/>
    <w:rsid w:val="00A00950"/>
    <w:rsid w:val="00A01DBC"/>
    <w:rsid w:val="00A10B83"/>
    <w:rsid w:val="00A15B90"/>
    <w:rsid w:val="00A17CAA"/>
    <w:rsid w:val="00A20933"/>
    <w:rsid w:val="00A2152D"/>
    <w:rsid w:val="00A22895"/>
    <w:rsid w:val="00A253FC"/>
    <w:rsid w:val="00A33D22"/>
    <w:rsid w:val="00A3708C"/>
    <w:rsid w:val="00A52669"/>
    <w:rsid w:val="00A540F2"/>
    <w:rsid w:val="00A707F2"/>
    <w:rsid w:val="00A82D26"/>
    <w:rsid w:val="00A87DE3"/>
    <w:rsid w:val="00A914E6"/>
    <w:rsid w:val="00A94194"/>
    <w:rsid w:val="00A95F52"/>
    <w:rsid w:val="00AA0E78"/>
    <w:rsid w:val="00AA186C"/>
    <w:rsid w:val="00AA605D"/>
    <w:rsid w:val="00AA6B09"/>
    <w:rsid w:val="00AA7669"/>
    <w:rsid w:val="00AB2F67"/>
    <w:rsid w:val="00AB33DF"/>
    <w:rsid w:val="00AB3EA4"/>
    <w:rsid w:val="00AB78EB"/>
    <w:rsid w:val="00AC585E"/>
    <w:rsid w:val="00AC656A"/>
    <w:rsid w:val="00AD08DC"/>
    <w:rsid w:val="00AD595C"/>
    <w:rsid w:val="00AE03EB"/>
    <w:rsid w:val="00AE1AB4"/>
    <w:rsid w:val="00AE26EF"/>
    <w:rsid w:val="00AE79F4"/>
    <w:rsid w:val="00AF6499"/>
    <w:rsid w:val="00AF6C4E"/>
    <w:rsid w:val="00AF7C86"/>
    <w:rsid w:val="00B03E23"/>
    <w:rsid w:val="00B06B95"/>
    <w:rsid w:val="00B07856"/>
    <w:rsid w:val="00B10B2E"/>
    <w:rsid w:val="00B12459"/>
    <w:rsid w:val="00B241F0"/>
    <w:rsid w:val="00B24899"/>
    <w:rsid w:val="00B25ED0"/>
    <w:rsid w:val="00B333EB"/>
    <w:rsid w:val="00B335BA"/>
    <w:rsid w:val="00B37ACB"/>
    <w:rsid w:val="00B532F8"/>
    <w:rsid w:val="00B55C8C"/>
    <w:rsid w:val="00B5707E"/>
    <w:rsid w:val="00B633FF"/>
    <w:rsid w:val="00B63CF6"/>
    <w:rsid w:val="00B65943"/>
    <w:rsid w:val="00B725AE"/>
    <w:rsid w:val="00B7604E"/>
    <w:rsid w:val="00B8513D"/>
    <w:rsid w:val="00B91A30"/>
    <w:rsid w:val="00B93D60"/>
    <w:rsid w:val="00B94CBE"/>
    <w:rsid w:val="00BA2823"/>
    <w:rsid w:val="00BA36E9"/>
    <w:rsid w:val="00BA5F0F"/>
    <w:rsid w:val="00BA78E1"/>
    <w:rsid w:val="00BA7AF3"/>
    <w:rsid w:val="00BB1624"/>
    <w:rsid w:val="00BB40D2"/>
    <w:rsid w:val="00BB6740"/>
    <w:rsid w:val="00BC0D2A"/>
    <w:rsid w:val="00BC1054"/>
    <w:rsid w:val="00BC1C18"/>
    <w:rsid w:val="00BD4242"/>
    <w:rsid w:val="00BD67F9"/>
    <w:rsid w:val="00BD6BE2"/>
    <w:rsid w:val="00BE17AE"/>
    <w:rsid w:val="00BE1814"/>
    <w:rsid w:val="00BE3D78"/>
    <w:rsid w:val="00BF27C6"/>
    <w:rsid w:val="00BF2DD1"/>
    <w:rsid w:val="00BF2E79"/>
    <w:rsid w:val="00BF3E13"/>
    <w:rsid w:val="00BF3F97"/>
    <w:rsid w:val="00BF61C7"/>
    <w:rsid w:val="00C100B9"/>
    <w:rsid w:val="00C115AF"/>
    <w:rsid w:val="00C226BC"/>
    <w:rsid w:val="00C22E6D"/>
    <w:rsid w:val="00C42147"/>
    <w:rsid w:val="00C45740"/>
    <w:rsid w:val="00C50F14"/>
    <w:rsid w:val="00C52131"/>
    <w:rsid w:val="00C542D0"/>
    <w:rsid w:val="00C61334"/>
    <w:rsid w:val="00C625E4"/>
    <w:rsid w:val="00C8174C"/>
    <w:rsid w:val="00C847A9"/>
    <w:rsid w:val="00C869DA"/>
    <w:rsid w:val="00C87032"/>
    <w:rsid w:val="00CA5ECB"/>
    <w:rsid w:val="00CB0CF8"/>
    <w:rsid w:val="00CB4831"/>
    <w:rsid w:val="00CC4B69"/>
    <w:rsid w:val="00CC5858"/>
    <w:rsid w:val="00CD2EB5"/>
    <w:rsid w:val="00CE09AA"/>
    <w:rsid w:val="00CE2524"/>
    <w:rsid w:val="00CE667C"/>
    <w:rsid w:val="00CE7172"/>
    <w:rsid w:val="00CF2F83"/>
    <w:rsid w:val="00D007B1"/>
    <w:rsid w:val="00D1491C"/>
    <w:rsid w:val="00D2471F"/>
    <w:rsid w:val="00D25851"/>
    <w:rsid w:val="00D34871"/>
    <w:rsid w:val="00D4028F"/>
    <w:rsid w:val="00D41A46"/>
    <w:rsid w:val="00D45924"/>
    <w:rsid w:val="00D47BBC"/>
    <w:rsid w:val="00D56389"/>
    <w:rsid w:val="00D57285"/>
    <w:rsid w:val="00D57ED5"/>
    <w:rsid w:val="00D620F5"/>
    <w:rsid w:val="00D72177"/>
    <w:rsid w:val="00D803D0"/>
    <w:rsid w:val="00D81EBC"/>
    <w:rsid w:val="00D84F4F"/>
    <w:rsid w:val="00D857FE"/>
    <w:rsid w:val="00D8648F"/>
    <w:rsid w:val="00D90AA4"/>
    <w:rsid w:val="00D93CE1"/>
    <w:rsid w:val="00D965FC"/>
    <w:rsid w:val="00DA0CBD"/>
    <w:rsid w:val="00DA11B6"/>
    <w:rsid w:val="00DA44A2"/>
    <w:rsid w:val="00DB3EE3"/>
    <w:rsid w:val="00DB60CE"/>
    <w:rsid w:val="00DC38C7"/>
    <w:rsid w:val="00DD10FA"/>
    <w:rsid w:val="00DD130D"/>
    <w:rsid w:val="00DE12AC"/>
    <w:rsid w:val="00DE4F7A"/>
    <w:rsid w:val="00DE6362"/>
    <w:rsid w:val="00DE69B8"/>
    <w:rsid w:val="00DF18C9"/>
    <w:rsid w:val="00DF3AC1"/>
    <w:rsid w:val="00E000B3"/>
    <w:rsid w:val="00E1142C"/>
    <w:rsid w:val="00E147B5"/>
    <w:rsid w:val="00E275D4"/>
    <w:rsid w:val="00E31496"/>
    <w:rsid w:val="00E31EA9"/>
    <w:rsid w:val="00E40E82"/>
    <w:rsid w:val="00E479F2"/>
    <w:rsid w:val="00E5192C"/>
    <w:rsid w:val="00E5507B"/>
    <w:rsid w:val="00E57BEC"/>
    <w:rsid w:val="00E6043D"/>
    <w:rsid w:val="00E65745"/>
    <w:rsid w:val="00E72EA3"/>
    <w:rsid w:val="00E75EB5"/>
    <w:rsid w:val="00EA0810"/>
    <w:rsid w:val="00EA3CE5"/>
    <w:rsid w:val="00EA5742"/>
    <w:rsid w:val="00EB6361"/>
    <w:rsid w:val="00EC2D5B"/>
    <w:rsid w:val="00EC4F33"/>
    <w:rsid w:val="00EF43C6"/>
    <w:rsid w:val="00EF586B"/>
    <w:rsid w:val="00EF7A8D"/>
    <w:rsid w:val="00F004EB"/>
    <w:rsid w:val="00F03483"/>
    <w:rsid w:val="00F14BFB"/>
    <w:rsid w:val="00F25194"/>
    <w:rsid w:val="00F25C71"/>
    <w:rsid w:val="00F30C14"/>
    <w:rsid w:val="00F3397B"/>
    <w:rsid w:val="00F37582"/>
    <w:rsid w:val="00F43D2D"/>
    <w:rsid w:val="00F50BD1"/>
    <w:rsid w:val="00F56F42"/>
    <w:rsid w:val="00F57F93"/>
    <w:rsid w:val="00F60202"/>
    <w:rsid w:val="00F61FFC"/>
    <w:rsid w:val="00F64BFC"/>
    <w:rsid w:val="00F654B3"/>
    <w:rsid w:val="00F65857"/>
    <w:rsid w:val="00F71073"/>
    <w:rsid w:val="00F73A8D"/>
    <w:rsid w:val="00F805D1"/>
    <w:rsid w:val="00F80795"/>
    <w:rsid w:val="00F85BBE"/>
    <w:rsid w:val="00F8671E"/>
    <w:rsid w:val="00F94C85"/>
    <w:rsid w:val="00F95F80"/>
    <w:rsid w:val="00FA178C"/>
    <w:rsid w:val="00FA59CC"/>
    <w:rsid w:val="00FA6B3C"/>
    <w:rsid w:val="00FB12F0"/>
    <w:rsid w:val="00FC5BE5"/>
    <w:rsid w:val="00FC67D9"/>
    <w:rsid w:val="00FC78CA"/>
    <w:rsid w:val="00FD1984"/>
    <w:rsid w:val="00FD3078"/>
    <w:rsid w:val="00FD7105"/>
    <w:rsid w:val="00FE108F"/>
    <w:rsid w:val="00FE1325"/>
    <w:rsid w:val="00FE2287"/>
    <w:rsid w:val="00FE4764"/>
    <w:rsid w:val="00FE762E"/>
    <w:rsid w:val="00FF1EF9"/>
    <w:rsid w:val="00FF24A9"/>
    <w:rsid w:val="00FF27E7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7882"/>
  <w15:docId w15:val="{AADB96F0-C8B5-4652-BFC3-D6EE2076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01D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63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1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B4C8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01D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tulo3Char">
    <w:name w:val="Título 3 Char"/>
    <w:basedOn w:val="Fontepargpadro"/>
    <w:link w:val="Ttulo3"/>
    <w:uiPriority w:val="9"/>
    <w:rsid w:val="00A01DB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550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50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0357"/>
  </w:style>
  <w:style w:type="paragraph" w:styleId="Rodap">
    <w:name w:val="footer"/>
    <w:basedOn w:val="Normal"/>
    <w:link w:val="RodapChar"/>
    <w:uiPriority w:val="99"/>
    <w:unhideWhenUsed/>
    <w:rsid w:val="00550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0357"/>
  </w:style>
  <w:style w:type="character" w:styleId="Hyperlink">
    <w:name w:val="Hyperlink"/>
    <w:basedOn w:val="Fontepargpadro"/>
    <w:uiPriority w:val="99"/>
    <w:unhideWhenUsed/>
    <w:rsid w:val="0044051E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63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">
    <w:name w:val="_"/>
    <w:basedOn w:val="Fontepargpadro"/>
    <w:rsid w:val="00333C83"/>
  </w:style>
  <w:style w:type="character" w:customStyle="1" w:styleId="pg-3ff1">
    <w:name w:val="pg-3ff1"/>
    <w:basedOn w:val="Fontepargpadro"/>
    <w:rsid w:val="00333C83"/>
  </w:style>
  <w:style w:type="character" w:customStyle="1" w:styleId="pg-3ff2">
    <w:name w:val="pg-3ff2"/>
    <w:basedOn w:val="Fontepargpadro"/>
    <w:rsid w:val="00333C83"/>
  </w:style>
  <w:style w:type="character" w:customStyle="1" w:styleId="a-size-extra-large">
    <w:name w:val="a-size-extra-large"/>
    <w:basedOn w:val="Fontepargpadro"/>
    <w:rsid w:val="008C095A"/>
  </w:style>
  <w:style w:type="character" w:styleId="MenoPendente">
    <w:name w:val="Unresolved Mention"/>
    <w:basedOn w:val="Fontepargpadro"/>
    <w:uiPriority w:val="99"/>
    <w:semiHidden/>
    <w:unhideWhenUsed/>
    <w:rsid w:val="00D90AA4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C543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C543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C5436"/>
    <w:rPr>
      <w:vertAlign w:val="superscript"/>
    </w:rPr>
  </w:style>
  <w:style w:type="character" w:customStyle="1" w:styleId="authors">
    <w:name w:val="authors"/>
    <w:basedOn w:val="Fontepargpadro"/>
    <w:rsid w:val="00F65857"/>
  </w:style>
  <w:style w:type="character" w:customStyle="1" w:styleId="Data1">
    <w:name w:val="Data1"/>
    <w:basedOn w:val="Fontepargpadro"/>
    <w:rsid w:val="00F65857"/>
  </w:style>
  <w:style w:type="character" w:customStyle="1" w:styleId="arttitle">
    <w:name w:val="art_title"/>
    <w:basedOn w:val="Fontepargpadro"/>
    <w:rsid w:val="00F65857"/>
  </w:style>
  <w:style w:type="character" w:customStyle="1" w:styleId="serialtitle">
    <w:name w:val="serial_title"/>
    <w:basedOn w:val="Fontepargpadro"/>
    <w:rsid w:val="00F65857"/>
  </w:style>
  <w:style w:type="character" w:customStyle="1" w:styleId="volumeissue">
    <w:name w:val="volume_issue"/>
    <w:basedOn w:val="Fontepargpadro"/>
    <w:rsid w:val="00F65857"/>
  </w:style>
  <w:style w:type="character" w:customStyle="1" w:styleId="pagerange">
    <w:name w:val="page_range"/>
    <w:basedOn w:val="Fontepargpadro"/>
    <w:rsid w:val="00F65857"/>
  </w:style>
  <w:style w:type="character" w:customStyle="1" w:styleId="doilink">
    <w:name w:val="doi_link"/>
    <w:basedOn w:val="Fontepargpadro"/>
    <w:rsid w:val="00F65857"/>
  </w:style>
  <w:style w:type="paragraph" w:styleId="Textodebalo">
    <w:name w:val="Balloon Text"/>
    <w:basedOn w:val="Normal"/>
    <w:link w:val="TextodebaloChar"/>
    <w:uiPriority w:val="99"/>
    <w:semiHidden/>
    <w:unhideWhenUsed/>
    <w:rsid w:val="0014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AE8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C45740"/>
    <w:pPr>
      <w:spacing w:after="0" w:line="240" w:lineRule="auto"/>
    </w:pPr>
  </w:style>
  <w:style w:type="character" w:customStyle="1" w:styleId="pg-1fc1">
    <w:name w:val="pg-1fc1"/>
    <w:basedOn w:val="Fontepargpadro"/>
    <w:rsid w:val="00D803D0"/>
  </w:style>
  <w:style w:type="character" w:styleId="nfase">
    <w:name w:val="Emphasis"/>
    <w:basedOn w:val="Fontepargpadro"/>
    <w:uiPriority w:val="20"/>
    <w:qFormat/>
    <w:rsid w:val="00AA6B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61E40-CD45-4B56-A390-F8368FAC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2041</Words>
  <Characters>11025</Characters>
  <Application>Microsoft Office Word</Application>
  <DocSecurity>4</DocSecurity>
  <Lines>91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NUMA MAZAT</dc:creator>
  <cp:keywords/>
  <dc:description/>
  <cp:lastModifiedBy>Eduardo Bastian</cp:lastModifiedBy>
  <cp:revision>2</cp:revision>
  <cp:lastPrinted>2022-02-14T14:20:00Z</cp:lastPrinted>
  <dcterms:created xsi:type="dcterms:W3CDTF">2025-01-08T14:37:00Z</dcterms:created>
  <dcterms:modified xsi:type="dcterms:W3CDTF">2025-01-08T14:37:00Z</dcterms:modified>
</cp:coreProperties>
</file>